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9CB5" w14:textId="4D20C42C" w:rsidR="006E288F" w:rsidRDefault="00E0792B" w:rsidP="004568A3">
      <w:pPr>
        <w:spacing w:after="0" w:line="240" w:lineRule="auto"/>
        <w:rPr>
          <w:lang w:val="sr-Latn-RS"/>
        </w:rPr>
      </w:pPr>
      <w:r>
        <w:rPr>
          <w:noProof/>
        </w:rPr>
        <mc:AlternateContent>
          <mc:Choice Requires="wps">
            <w:drawing>
              <wp:anchor distT="0" distB="0" distL="114300" distR="114300" simplePos="0" relativeHeight="251660288" behindDoc="1" locked="0" layoutInCell="1" allowOverlap="1" wp14:anchorId="07244865" wp14:editId="132EE63F">
                <wp:simplePos x="0" y="0"/>
                <wp:positionH relativeFrom="margin">
                  <wp:align>center</wp:align>
                </wp:positionH>
                <wp:positionV relativeFrom="paragraph">
                  <wp:posOffset>-200025</wp:posOffset>
                </wp:positionV>
                <wp:extent cx="615315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C898E" id="Straight Connector 38"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5pt" to="4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" strokecolor="#4472c4 [3204]" strokeweight=".5pt">
                <v:stroke joinstyle="miter"/>
                <w10:wrap anchorx="margin"/>
              </v:line>
            </w:pict>
          </mc:Fallback>
        </mc:AlternateContent>
      </w:r>
      <w:r w:rsidR="0064155D">
        <w:rPr>
          <w:lang w:val="sr-Latn-RS"/>
        </w:rPr>
        <w:t>Broj: 11-1204.2024/ godine</w:t>
      </w:r>
    </w:p>
    <w:p w14:paraId="7D12A72B" w14:textId="228DC03A" w:rsidR="0064155D" w:rsidRPr="004B68B0" w:rsidRDefault="0064155D" w:rsidP="004568A3">
      <w:pPr>
        <w:spacing w:after="0" w:line="240" w:lineRule="auto"/>
        <w:rPr>
          <w:lang w:val="sr-Latn-RS"/>
        </w:rPr>
      </w:pPr>
      <w:r>
        <w:rPr>
          <w:lang w:val="sr-Latn-RS"/>
        </w:rPr>
        <w:t>Datum: 12.04.2024. godine</w:t>
      </w:r>
    </w:p>
    <w:p w14:paraId="01B11D4D" w14:textId="77777777" w:rsidR="004B68B0" w:rsidRPr="004B68B0" w:rsidRDefault="004B68B0" w:rsidP="004B68B0">
      <w:pPr>
        <w:spacing w:after="0" w:line="240" w:lineRule="auto"/>
        <w:ind w:left="4395" w:hanging="426"/>
        <w:rPr>
          <w:b/>
          <w:bCs/>
          <w:lang w:val="sr-Cyrl-RS"/>
        </w:rPr>
      </w:pPr>
      <w:r w:rsidRPr="004B68B0">
        <w:rPr>
          <w:b/>
          <w:bCs/>
          <w:lang w:val="sr-Cyrl-RS"/>
        </w:rPr>
        <w:t>KANCELARIJA ZA RAZMATRANJE ŽALBI BIH</w:t>
      </w:r>
    </w:p>
    <w:p w14:paraId="02BDC9AD" w14:textId="77777777" w:rsidR="004B68B0" w:rsidRPr="004B68B0" w:rsidRDefault="004B68B0" w:rsidP="004B68B0">
      <w:pPr>
        <w:spacing w:after="0" w:line="240" w:lineRule="auto"/>
        <w:ind w:left="4395" w:hanging="426"/>
        <w:rPr>
          <w:b/>
          <w:bCs/>
          <w:lang w:val="sr-Cyrl-RS"/>
        </w:rPr>
      </w:pPr>
      <w:r w:rsidRPr="004B68B0">
        <w:rPr>
          <w:b/>
          <w:bCs/>
          <w:lang w:val="sr-Cyrl-RS"/>
        </w:rPr>
        <w:t>Filijala Banja Luka</w:t>
      </w:r>
    </w:p>
    <w:p w14:paraId="45EE95E4" w14:textId="77777777" w:rsidR="004B68B0" w:rsidRPr="004B68B0" w:rsidRDefault="004B68B0" w:rsidP="004B68B0">
      <w:pPr>
        <w:spacing w:after="0" w:line="240" w:lineRule="auto"/>
        <w:ind w:left="4395" w:hanging="426"/>
        <w:rPr>
          <w:b/>
          <w:bCs/>
          <w:lang w:val="sr-Cyrl-RS"/>
        </w:rPr>
      </w:pPr>
      <w:r w:rsidRPr="004B68B0">
        <w:rPr>
          <w:b/>
          <w:bCs/>
          <w:lang w:val="sr-Cyrl-RS"/>
        </w:rPr>
        <w:t>Jovana Dučića 23/I</w:t>
      </w:r>
    </w:p>
    <w:p w14:paraId="6CF92476" w14:textId="77777777" w:rsidR="004B68B0" w:rsidRPr="004B68B0" w:rsidRDefault="004B68B0" w:rsidP="004B68B0">
      <w:pPr>
        <w:spacing w:after="0" w:line="240" w:lineRule="auto"/>
        <w:ind w:left="4395" w:hanging="426"/>
        <w:rPr>
          <w:b/>
          <w:bCs/>
          <w:lang w:val="sr-Cyrl-RS"/>
        </w:rPr>
      </w:pPr>
      <w:r w:rsidRPr="004B68B0">
        <w:rPr>
          <w:b/>
          <w:bCs/>
          <w:lang w:val="sr-Cyrl-RS"/>
        </w:rPr>
        <w:t>78 000 Banja Luka</w:t>
      </w:r>
    </w:p>
    <w:p w14:paraId="2CF8B6DC" w14:textId="77777777" w:rsidR="004B68B0" w:rsidRPr="004B68B0" w:rsidRDefault="004B68B0" w:rsidP="004B68B0">
      <w:pPr>
        <w:spacing w:after="0" w:line="240" w:lineRule="auto"/>
        <w:ind w:left="4395" w:hanging="426"/>
        <w:rPr>
          <w:b/>
          <w:bCs/>
          <w:lang w:val="sr-Cyrl-RS"/>
        </w:rPr>
      </w:pPr>
    </w:p>
    <w:p w14:paraId="5C8BD04A" w14:textId="77777777" w:rsidR="004B68B0" w:rsidRPr="004B68B0" w:rsidRDefault="004B68B0" w:rsidP="004B68B0">
      <w:pPr>
        <w:spacing w:after="0" w:line="240" w:lineRule="auto"/>
        <w:ind w:left="4395" w:hanging="426"/>
        <w:rPr>
          <w:b/>
          <w:bCs/>
          <w:lang w:val="sr-Cyrl-RS"/>
        </w:rPr>
      </w:pPr>
      <w:r w:rsidRPr="004B68B0">
        <w:rPr>
          <w:b/>
          <w:bCs/>
          <w:lang w:val="sr-Cyrl-RS"/>
        </w:rPr>
        <w:t>putem ugovornog organa</w:t>
      </w:r>
    </w:p>
    <w:p w14:paraId="7AC293D3" w14:textId="77777777" w:rsidR="004B68B0" w:rsidRPr="004B68B0" w:rsidRDefault="004B68B0" w:rsidP="004B68B0">
      <w:pPr>
        <w:spacing w:after="0" w:line="240" w:lineRule="auto"/>
        <w:ind w:left="4395" w:hanging="426"/>
        <w:rPr>
          <w:b/>
          <w:bCs/>
          <w:lang w:val="sr-Cyrl-RS"/>
        </w:rPr>
      </w:pPr>
    </w:p>
    <w:p w14:paraId="15AE09E7" w14:textId="77777777" w:rsidR="004B68B0" w:rsidRPr="004B68B0" w:rsidRDefault="004B68B0" w:rsidP="004B68B0">
      <w:pPr>
        <w:spacing w:after="0" w:line="240" w:lineRule="auto"/>
        <w:jc w:val="both"/>
        <w:rPr>
          <w:b/>
          <w:bCs/>
          <w:lang w:val="sr-Cyrl-RS"/>
        </w:rPr>
      </w:pPr>
      <w:r w:rsidRPr="004B68B0">
        <w:rPr>
          <w:b/>
          <w:bCs/>
          <w:lang w:val="sr-Cyrl-RS"/>
        </w:rPr>
        <w:t xml:space="preserve">Podnosilac žalbe: </w:t>
      </w:r>
      <w:r w:rsidRPr="004B68B0">
        <w:rPr>
          <w:lang w:val="sr-Cyrl-RS"/>
        </w:rPr>
        <w:t>ponuđač, zastupana po advokatu Draženu Vidakoviću iz Banjaluke, ulica Gundulićeva br. 98, na osnovu čl. 99. i 101. Zakona o javnim nabavkama („Službeni glasnik BiH“, br. 39/14 i 59/22), blagovremeno izjavljuje sljedeću:</w:t>
      </w:r>
    </w:p>
    <w:p w14:paraId="50BEAD52" w14:textId="77777777" w:rsidR="004B68B0" w:rsidRPr="004B68B0" w:rsidRDefault="004B68B0" w:rsidP="004B68B0">
      <w:pPr>
        <w:spacing w:after="0" w:line="240" w:lineRule="auto"/>
        <w:ind w:left="4395" w:hanging="426"/>
        <w:rPr>
          <w:b/>
          <w:bCs/>
          <w:lang w:val="sr-Cyrl-RS"/>
        </w:rPr>
      </w:pPr>
    </w:p>
    <w:p w14:paraId="3E0C0ACA" w14:textId="77777777" w:rsidR="004B68B0" w:rsidRPr="004B68B0" w:rsidRDefault="004B68B0" w:rsidP="004B68B0">
      <w:pPr>
        <w:spacing w:after="0" w:line="240" w:lineRule="auto"/>
        <w:ind w:left="4395" w:hanging="426"/>
        <w:rPr>
          <w:b/>
          <w:bCs/>
          <w:lang w:val="sr-Cyrl-RS"/>
        </w:rPr>
      </w:pPr>
      <w:r w:rsidRPr="004B68B0">
        <w:rPr>
          <w:b/>
          <w:bCs/>
          <w:lang w:val="sr-Cyrl-RS"/>
        </w:rPr>
        <w:t>Ž A L B U</w:t>
      </w:r>
    </w:p>
    <w:p w14:paraId="6F06C5B7" w14:textId="77777777" w:rsidR="004B68B0" w:rsidRPr="004B68B0" w:rsidRDefault="004B68B0" w:rsidP="004B68B0">
      <w:pPr>
        <w:spacing w:after="0" w:line="240" w:lineRule="auto"/>
        <w:ind w:left="4395" w:hanging="426"/>
        <w:rPr>
          <w:b/>
          <w:bCs/>
          <w:lang w:val="sr-Cyrl-RS"/>
        </w:rPr>
      </w:pPr>
    </w:p>
    <w:p w14:paraId="71DBF19E" w14:textId="32247152" w:rsidR="004B68B0" w:rsidRPr="004B68B0" w:rsidRDefault="004B68B0" w:rsidP="004B68B0">
      <w:pPr>
        <w:spacing w:after="0" w:line="240" w:lineRule="auto"/>
        <w:jc w:val="both"/>
        <w:rPr>
          <w:lang w:val="sr-Cyrl-RS"/>
        </w:rPr>
      </w:pPr>
      <w:r w:rsidRPr="004B68B0">
        <w:rPr>
          <w:lang w:val="sr-Cyrl-RS"/>
        </w:rPr>
        <w:t>Na tendersku dokumentaciju ugovornog organa broj: 11</w:t>
      </w:r>
      <w:r w:rsidR="00FE130A">
        <w:rPr>
          <w:lang w:val="sr-Latn-RS"/>
        </w:rPr>
        <w:t>111</w:t>
      </w:r>
      <w:r w:rsidRPr="004B68B0">
        <w:rPr>
          <w:lang w:val="sr-Cyrl-RS"/>
        </w:rPr>
        <w:t xml:space="preserve">/24 od 26.03.2024. godine , objavljenu na Portalu javnih nabavki broj: 1111-1-1-6-3-6/24 od </w:t>
      </w:r>
      <w:r w:rsidR="00FE130A">
        <w:rPr>
          <w:lang w:val="sr-Latn-RS"/>
        </w:rPr>
        <w:t>01</w:t>
      </w:r>
      <w:r w:rsidRPr="004B68B0">
        <w:rPr>
          <w:lang w:val="sr-Cyrl-RS"/>
        </w:rPr>
        <w:t>.0</w:t>
      </w:r>
      <w:r w:rsidR="00FE130A">
        <w:rPr>
          <w:lang w:val="sr-Latn-RS"/>
        </w:rPr>
        <w:t>1</w:t>
      </w:r>
      <w:r w:rsidRPr="004B68B0">
        <w:rPr>
          <w:lang w:val="sr-Cyrl-RS"/>
        </w:rPr>
        <w:t>.2024. godine, u otvorenom postupku „Javne nabavke pića“.</w:t>
      </w:r>
    </w:p>
    <w:p w14:paraId="1DD12938" w14:textId="77777777" w:rsidR="004B68B0" w:rsidRPr="004B68B0" w:rsidRDefault="004B68B0" w:rsidP="004B68B0">
      <w:pPr>
        <w:spacing w:after="0" w:line="240" w:lineRule="auto"/>
        <w:jc w:val="both"/>
        <w:rPr>
          <w:lang w:val="sr-Cyrl-RS"/>
        </w:rPr>
      </w:pPr>
    </w:p>
    <w:p w14:paraId="7C2715B1" w14:textId="77777777" w:rsidR="004B68B0" w:rsidRPr="004B68B0" w:rsidRDefault="004B68B0" w:rsidP="004B68B0">
      <w:pPr>
        <w:spacing w:after="0" w:line="240" w:lineRule="auto"/>
        <w:jc w:val="both"/>
        <w:rPr>
          <w:lang w:val="sr-Cyrl-RS"/>
        </w:rPr>
      </w:pPr>
      <w:r w:rsidRPr="004B68B0">
        <w:rPr>
          <w:lang w:val="sr-Cyrl-RS"/>
        </w:rPr>
        <w:t>Žalilac podnosi žalbu jer je ugovorni organ u ožalbenoj tenderskoj dokumentaciji povrijedio odredbe čl. 3., 44., 48., 49., 53.,  54., Zakona o javnim nabavkama (u daljem tekstu: Zakon).</w:t>
      </w:r>
    </w:p>
    <w:p w14:paraId="02782B07" w14:textId="77777777" w:rsidR="004B68B0" w:rsidRPr="004B68B0" w:rsidRDefault="004B68B0" w:rsidP="004B68B0">
      <w:pPr>
        <w:spacing w:after="0" w:line="240" w:lineRule="auto"/>
        <w:jc w:val="both"/>
        <w:rPr>
          <w:lang w:val="sr-Cyrl-RS"/>
        </w:rPr>
      </w:pPr>
    </w:p>
    <w:p w14:paraId="57176B9B" w14:textId="77777777" w:rsidR="004B68B0" w:rsidRPr="004B68B0" w:rsidRDefault="004B68B0" w:rsidP="004B68B0">
      <w:pPr>
        <w:spacing w:after="0" w:line="240" w:lineRule="auto"/>
        <w:jc w:val="both"/>
        <w:rPr>
          <w:lang w:val="sr-Cyrl-RS"/>
        </w:rPr>
      </w:pPr>
      <w:r w:rsidRPr="004B68B0">
        <w:rPr>
          <w:lang w:val="sr-Cyrl-RS"/>
        </w:rPr>
        <w:t>U skladu sa članom 97. Zakona žalilac zadovoljava uslov za aktivnu legitimaciju, jer ima interes za dodjelu ugovora samim tim što je preuzeo tendersku dokumentaciju (dana 26.03.2024. godine) i može da učini vjerovatnim da bi mu u konkretnom postupku javne nabavke mogla biti prouzrokovana šteta zbog nezakonitog postupanja ugovornog organa. Žalilac je samostalni preduzetnik koji je registrovan kao trgovačka radnja za trgovinu robom koja je predmet konkretne javne nabavke.</w:t>
      </w:r>
    </w:p>
    <w:p w14:paraId="3887FEC4" w14:textId="77777777" w:rsidR="004B68B0" w:rsidRPr="004B68B0" w:rsidRDefault="004B68B0" w:rsidP="004B68B0">
      <w:pPr>
        <w:spacing w:after="0" w:line="240" w:lineRule="auto"/>
        <w:jc w:val="both"/>
        <w:rPr>
          <w:lang w:val="sr-Cyrl-RS"/>
        </w:rPr>
      </w:pPr>
    </w:p>
    <w:p w14:paraId="54456D6F" w14:textId="77777777" w:rsidR="004B68B0" w:rsidRPr="004B68B0" w:rsidRDefault="004B68B0" w:rsidP="004B68B0">
      <w:pPr>
        <w:spacing w:after="0" w:line="240" w:lineRule="auto"/>
        <w:jc w:val="both"/>
        <w:rPr>
          <w:lang w:val="sr-Cyrl-RS"/>
        </w:rPr>
      </w:pPr>
      <w:r w:rsidRPr="004B68B0">
        <w:rPr>
          <w:lang w:val="sr-Cyrl-RS"/>
        </w:rPr>
        <w:t>Dokaz:</w:t>
      </w:r>
    </w:p>
    <w:p w14:paraId="06841910" w14:textId="342E26D9" w:rsidR="004B68B0" w:rsidRPr="004B68B0" w:rsidRDefault="004B68B0" w:rsidP="004B68B0">
      <w:pPr>
        <w:pStyle w:val="ListParagraph"/>
        <w:numPr>
          <w:ilvl w:val="0"/>
          <w:numId w:val="21"/>
        </w:numPr>
        <w:spacing w:after="0" w:line="240" w:lineRule="auto"/>
        <w:jc w:val="both"/>
        <w:rPr>
          <w:lang w:val="sr-Cyrl-RS"/>
        </w:rPr>
      </w:pPr>
      <w:r w:rsidRPr="004B68B0">
        <w:rPr>
          <w:lang w:val="sr-Cyrl-RS"/>
        </w:rPr>
        <w:t>Izvještaj o preuzimanju tenderske dokumentacije</w:t>
      </w:r>
    </w:p>
    <w:p w14:paraId="14C23735" w14:textId="76D13EB9" w:rsidR="004B68B0" w:rsidRPr="004B68B0" w:rsidRDefault="004B68B0" w:rsidP="004B68B0">
      <w:pPr>
        <w:pStyle w:val="ListParagraph"/>
        <w:numPr>
          <w:ilvl w:val="0"/>
          <w:numId w:val="21"/>
        </w:numPr>
        <w:spacing w:after="0" w:line="240" w:lineRule="auto"/>
        <w:jc w:val="both"/>
        <w:rPr>
          <w:lang w:val="sr-Cyrl-RS"/>
        </w:rPr>
      </w:pPr>
      <w:r w:rsidRPr="004B68B0">
        <w:rPr>
          <w:lang w:val="sr-Cyrl-RS"/>
        </w:rPr>
        <w:t>Aktuelni izvod iz sudskog registra</w:t>
      </w:r>
    </w:p>
    <w:p w14:paraId="79CCAF29" w14:textId="77777777" w:rsidR="004B68B0" w:rsidRPr="004B68B0" w:rsidRDefault="004B68B0" w:rsidP="004B68B0">
      <w:pPr>
        <w:spacing w:after="0" w:line="240" w:lineRule="auto"/>
        <w:jc w:val="both"/>
        <w:rPr>
          <w:lang w:val="sr-Cyrl-RS"/>
        </w:rPr>
      </w:pPr>
    </w:p>
    <w:p w14:paraId="3C68BFF7" w14:textId="77777777" w:rsidR="004B68B0" w:rsidRPr="004B68B0" w:rsidRDefault="004B68B0" w:rsidP="004B68B0">
      <w:pPr>
        <w:spacing w:after="0" w:line="240" w:lineRule="auto"/>
        <w:jc w:val="both"/>
        <w:rPr>
          <w:lang w:val="sr-Cyrl-RS"/>
        </w:rPr>
      </w:pPr>
      <w:r w:rsidRPr="004B68B0">
        <w:rPr>
          <w:lang w:val="sr-Cyrl-RS"/>
        </w:rPr>
        <w:t>Žalilac izjavljuje žalbu kako iz sljedećih razloga:</w:t>
      </w:r>
    </w:p>
    <w:p w14:paraId="19993B2D" w14:textId="77777777" w:rsidR="004B68B0" w:rsidRPr="004B68B0" w:rsidRDefault="004B68B0" w:rsidP="004B68B0">
      <w:pPr>
        <w:spacing w:after="0" w:line="240" w:lineRule="auto"/>
        <w:jc w:val="both"/>
        <w:rPr>
          <w:lang w:val="sr-Cyrl-RS"/>
        </w:rPr>
      </w:pPr>
    </w:p>
    <w:p w14:paraId="267FFC06" w14:textId="32F61B95" w:rsidR="004B68B0" w:rsidRPr="004B68B0" w:rsidRDefault="004B68B0" w:rsidP="004B68B0">
      <w:pPr>
        <w:pStyle w:val="ListParagraph"/>
        <w:numPr>
          <w:ilvl w:val="0"/>
          <w:numId w:val="22"/>
        </w:numPr>
        <w:spacing w:after="0" w:line="240" w:lineRule="auto"/>
        <w:jc w:val="both"/>
        <w:rPr>
          <w:b/>
          <w:bCs/>
          <w:lang w:val="sr-Cyrl-RS"/>
        </w:rPr>
      </w:pPr>
      <w:r w:rsidRPr="004B68B0">
        <w:rPr>
          <w:b/>
          <w:bCs/>
          <w:lang w:val="sr-Cyrl-RS"/>
        </w:rPr>
        <w:t>Zahtjevanje ISO 22 000:2018 sertifikata</w:t>
      </w:r>
    </w:p>
    <w:p w14:paraId="16F44162" w14:textId="77777777" w:rsidR="004B68B0" w:rsidRPr="004B68B0" w:rsidRDefault="004B68B0" w:rsidP="004B68B0">
      <w:pPr>
        <w:spacing w:after="0" w:line="240" w:lineRule="auto"/>
        <w:jc w:val="both"/>
        <w:rPr>
          <w:lang w:val="sr-Cyrl-RS"/>
        </w:rPr>
      </w:pPr>
    </w:p>
    <w:p w14:paraId="337CFFDB" w14:textId="77777777" w:rsidR="004B68B0" w:rsidRPr="004B68B0" w:rsidRDefault="004B68B0" w:rsidP="004B68B0">
      <w:pPr>
        <w:spacing w:after="0" w:line="240" w:lineRule="auto"/>
        <w:jc w:val="both"/>
        <w:rPr>
          <w:lang w:val="sr-Cyrl-RS"/>
        </w:rPr>
      </w:pPr>
      <w:r w:rsidRPr="004B68B0">
        <w:rPr>
          <w:lang w:val="sr-Cyrl-RS"/>
        </w:rPr>
        <w:t>Tačkom 5.4.1. c koja se tiče tehničke i profesionalne sposobnosti, ugovorni organ od ponuđača zahtjeva da imaju sertifikat ISO 22 000: 2018 ili ekvivalent.</w:t>
      </w:r>
    </w:p>
    <w:p w14:paraId="5D703153" w14:textId="77777777" w:rsidR="004B68B0" w:rsidRPr="004B68B0" w:rsidRDefault="004B68B0" w:rsidP="004B68B0">
      <w:pPr>
        <w:spacing w:after="0" w:line="240" w:lineRule="auto"/>
        <w:jc w:val="both"/>
        <w:rPr>
          <w:lang w:val="sr-Cyrl-RS"/>
        </w:rPr>
      </w:pPr>
    </w:p>
    <w:p w14:paraId="342122E8" w14:textId="77777777" w:rsidR="004B68B0" w:rsidRPr="004B68B0" w:rsidRDefault="004B68B0" w:rsidP="004B68B0">
      <w:pPr>
        <w:spacing w:after="0" w:line="240" w:lineRule="auto"/>
        <w:jc w:val="both"/>
        <w:rPr>
          <w:lang w:val="sr-Cyrl-RS"/>
        </w:rPr>
      </w:pPr>
      <w:r w:rsidRPr="004B68B0">
        <w:rPr>
          <w:lang w:val="sr-Cyrl-RS"/>
        </w:rPr>
        <w:t>Tačkom 5.4.2.v kao dokaz se zahtjeva original ili kopija sertifikata u izvornom obliku, važećeg na dan iz tačke 3.1.2 ove TD tj. na dan objave obavještenja o nabavci.</w:t>
      </w:r>
    </w:p>
    <w:p w14:paraId="7644EB61" w14:textId="77777777" w:rsidR="004B68B0" w:rsidRPr="004B68B0" w:rsidRDefault="004B68B0" w:rsidP="004B68B0">
      <w:pPr>
        <w:spacing w:after="0" w:line="240" w:lineRule="auto"/>
        <w:jc w:val="both"/>
        <w:rPr>
          <w:lang w:val="sr-Cyrl-RS"/>
        </w:rPr>
      </w:pPr>
    </w:p>
    <w:p w14:paraId="4D06E4EB" w14:textId="77777777" w:rsidR="004B68B0" w:rsidRPr="004B68B0" w:rsidRDefault="004B68B0" w:rsidP="004B68B0">
      <w:pPr>
        <w:spacing w:after="0" w:line="240" w:lineRule="auto"/>
        <w:jc w:val="both"/>
        <w:rPr>
          <w:lang w:val="sr-Cyrl-RS"/>
        </w:rPr>
      </w:pPr>
      <w:r w:rsidRPr="004B68B0">
        <w:rPr>
          <w:lang w:val="sr-Cyrl-RS"/>
        </w:rPr>
        <w:t>Sertifikat ISO 22 000: 2018 specifikuje zahtjeve za sistem upravljanja bezbednošću hrane (Food safety management system. FSMS). Svi zahtevi ovog sertifikata su generički i namjenjeni su da budu primenljivi na sve organizacije u lancu hrane, bez obzira na veličinu i složenost. Organizacije koje su direktno ili indirektno uključene uključuju, ali nisu ograničene na, proizvođače stočne hrane, proizvođače hrane za životinje, berbe divljih biljaka i životinja, poljoprivrednike, proizvođače sastojaka, proizvođače hrane, trgovce na malo i organizacije koje pružaju usluge ishrane, ugostiteljske usluge, čišćenje i sanitarne usluge, usluge transporta, skladištenja i distribucije, dobavljači opreme, sredstava za čišćenje i dezinfekciju, materijala za pakovanje i drugih materijala u kontaktu sa hranom.</w:t>
      </w:r>
    </w:p>
    <w:p w14:paraId="1C88EECE" w14:textId="77777777" w:rsidR="004B68B0" w:rsidRPr="004B68B0" w:rsidRDefault="004B68B0" w:rsidP="004B68B0">
      <w:pPr>
        <w:spacing w:after="0" w:line="240" w:lineRule="auto"/>
        <w:jc w:val="both"/>
        <w:rPr>
          <w:lang w:val="sr-Cyrl-RS"/>
        </w:rPr>
      </w:pPr>
    </w:p>
    <w:p w14:paraId="4C3E09BC" w14:textId="1F36E4C8" w:rsidR="004B68B0" w:rsidRPr="004B68B0" w:rsidRDefault="004B68B0" w:rsidP="004B68B0">
      <w:pPr>
        <w:spacing w:after="0" w:line="240" w:lineRule="auto"/>
        <w:jc w:val="both"/>
        <w:rPr>
          <w:lang w:val="sr-Cyrl-RS"/>
        </w:rPr>
      </w:pPr>
      <w:r w:rsidRPr="004B68B0">
        <w:rPr>
          <w:lang w:val="sr-Cyrl-RS"/>
        </w:rPr>
        <w:t>Dakle, navedeni sertifikat se odnosi upravljanje bezbjednošću hrane. Konkretni predmet nabavke u ožalbenom postupku je nabavka pića. Samim tim, navedeni zahtjev je suvišan i nezakonit jer nije u skladu sa članom 44. stav (3) Zakona koji jasno propisjue da minimum kvalifikacionih uslova koje ugovorni organ odredi za kandidate/ponuđače, kao i dokumenti  koji su potrebni za njihovo dokazivanje obavezno treba da budu srazmjerni predmetu javne nabavke i u skladu s njim. Postavljeni uslovi ne smiju imati ograničavajući karakter na konkurenciju i moraju biti jasni i precizni.</w:t>
      </w:r>
    </w:p>
    <w:p w14:paraId="03085448" w14:textId="77777777" w:rsidR="004B68B0" w:rsidRPr="004B68B0" w:rsidRDefault="004B68B0" w:rsidP="004B68B0">
      <w:pPr>
        <w:spacing w:after="0" w:line="240" w:lineRule="auto"/>
        <w:jc w:val="both"/>
        <w:rPr>
          <w:lang w:val="sr-Cyrl-RS"/>
        </w:rPr>
      </w:pPr>
    </w:p>
    <w:p w14:paraId="7195FF9B" w14:textId="0E3AD8E4" w:rsidR="004B68B0" w:rsidRDefault="004B68B0" w:rsidP="004B68B0">
      <w:pPr>
        <w:spacing w:after="0" w:line="240" w:lineRule="auto"/>
        <w:jc w:val="both"/>
        <w:rPr>
          <w:lang w:val="sr-Cyrl-RS"/>
        </w:rPr>
      </w:pPr>
      <w:r w:rsidRPr="004B68B0">
        <w:rPr>
          <w:lang w:val="sr-Cyrl-RS"/>
        </w:rPr>
        <w:t xml:space="preserve">Kako se navedeni traženi standard ne odnosi na ono što je konkretno predmet nabavke (nabavka pića), traženje navedenog nije srazmjeran predmetu nabavke niti je u skladu sa njim. Promet hrane i piće nije izjednačen ni u faktičkom ni u pravnom smislu. Tako npr. u skladu sa važećim klasifikacijama djelatnosti BiH, Republike Srpske i FBiH, privredni subjekti koji su registrovani za obavljanje trgovine na veliko/malo hranom, ne moraju nužno biti i registrovani za trgovinu na veliko/malo pićima. Takođe, JRJN prepoznaje posebnu grupu koja se tiče pića, pod šifrom:   15900000-7 – pića, duvan i srodni proizvodi, dok su prehrambeni proizvodi pod šifrom: 15800000-6 – razni prehrambeni proizvodi. </w:t>
      </w:r>
    </w:p>
    <w:p w14:paraId="029F64EB" w14:textId="77777777" w:rsidR="004B68B0" w:rsidRPr="004B68B0" w:rsidRDefault="004B68B0" w:rsidP="004B68B0">
      <w:pPr>
        <w:spacing w:after="0" w:line="240" w:lineRule="auto"/>
        <w:jc w:val="both"/>
        <w:rPr>
          <w:lang w:val="sr-Cyrl-RS"/>
        </w:rPr>
      </w:pPr>
    </w:p>
    <w:p w14:paraId="227BD905" w14:textId="77777777" w:rsidR="004B68B0" w:rsidRPr="004B68B0" w:rsidRDefault="004B68B0" w:rsidP="004B68B0">
      <w:pPr>
        <w:spacing w:after="0" w:line="240" w:lineRule="auto"/>
        <w:jc w:val="both"/>
        <w:rPr>
          <w:lang w:val="sr-Cyrl-RS"/>
        </w:rPr>
      </w:pPr>
      <w:r w:rsidRPr="004B68B0">
        <w:rPr>
          <w:lang w:val="sr-Cyrl-RS"/>
        </w:rPr>
        <w:t>Dokaz:</w:t>
      </w:r>
    </w:p>
    <w:p w14:paraId="04415B07" w14:textId="299FD626" w:rsidR="004B68B0" w:rsidRPr="004B68B0" w:rsidRDefault="004B68B0" w:rsidP="004B68B0">
      <w:pPr>
        <w:pStyle w:val="ListParagraph"/>
        <w:numPr>
          <w:ilvl w:val="0"/>
          <w:numId w:val="25"/>
        </w:numPr>
        <w:spacing w:after="0" w:line="240" w:lineRule="auto"/>
        <w:ind w:left="567" w:hanging="207"/>
        <w:jc w:val="both"/>
        <w:rPr>
          <w:lang w:val="sr-Cyrl-RS"/>
        </w:rPr>
      </w:pPr>
      <w:r w:rsidRPr="004B68B0">
        <w:rPr>
          <w:lang w:val="sr-Cyrl-RS"/>
        </w:rPr>
        <w:t>tenderska dokumentacija</w:t>
      </w:r>
    </w:p>
    <w:p w14:paraId="5A4DD696" w14:textId="5F0DD545" w:rsidR="004B68B0" w:rsidRPr="004B68B0" w:rsidRDefault="004B68B0" w:rsidP="004B68B0">
      <w:pPr>
        <w:pStyle w:val="ListParagraph"/>
        <w:numPr>
          <w:ilvl w:val="0"/>
          <w:numId w:val="25"/>
        </w:numPr>
        <w:spacing w:after="0" w:line="240" w:lineRule="auto"/>
        <w:ind w:left="567" w:hanging="207"/>
        <w:jc w:val="both"/>
        <w:rPr>
          <w:lang w:val="sr-Cyrl-RS"/>
        </w:rPr>
      </w:pPr>
      <w:r w:rsidRPr="004B68B0">
        <w:rPr>
          <w:lang w:val="sr-Cyrl-RS"/>
        </w:rPr>
        <w:t>Tumačenje ISO 22 000 standarda sa zvanične veb stranice Instituta za standardizaciju BiH (https://isbih.gov.ba/sr/standard/306462)</w:t>
      </w:r>
    </w:p>
    <w:p w14:paraId="772E176C" w14:textId="77777777" w:rsidR="004B68B0" w:rsidRPr="004B68B0" w:rsidRDefault="004B68B0" w:rsidP="004B68B0">
      <w:pPr>
        <w:spacing w:after="0" w:line="240" w:lineRule="auto"/>
        <w:jc w:val="both"/>
        <w:rPr>
          <w:lang w:val="sr-Cyrl-RS"/>
        </w:rPr>
      </w:pPr>
    </w:p>
    <w:p w14:paraId="3E458FC2" w14:textId="5853F8B3" w:rsidR="004B68B0" w:rsidRPr="004B68B0" w:rsidRDefault="004B68B0" w:rsidP="004B68B0">
      <w:pPr>
        <w:pStyle w:val="ListParagraph"/>
        <w:numPr>
          <w:ilvl w:val="1"/>
          <w:numId w:val="25"/>
        </w:numPr>
        <w:spacing w:after="0" w:line="240" w:lineRule="auto"/>
        <w:ind w:left="567" w:hanging="283"/>
        <w:jc w:val="both"/>
        <w:rPr>
          <w:lang w:val="sr-Cyrl-RS"/>
        </w:rPr>
      </w:pPr>
      <w:r w:rsidRPr="004B68B0">
        <w:rPr>
          <w:lang w:val="sr-Cyrl-RS"/>
        </w:rPr>
        <w:t xml:space="preserve">Stoga, zahtjevamo od ugovornog organa da u skladu sa naprijed navedenim izbriše zahtjev iz tačke  5.4.1.c TD i vezani traženi dokaz iz tačke 5.4.2.v) TD kao nezakonite. </w:t>
      </w:r>
    </w:p>
    <w:p w14:paraId="0DA8D355" w14:textId="77777777" w:rsidR="004B68B0" w:rsidRPr="004B68B0" w:rsidRDefault="004B68B0" w:rsidP="004B68B0">
      <w:pPr>
        <w:spacing w:after="0" w:line="240" w:lineRule="auto"/>
        <w:jc w:val="both"/>
        <w:rPr>
          <w:lang w:val="sr-Cyrl-RS"/>
        </w:rPr>
      </w:pPr>
    </w:p>
    <w:p w14:paraId="20C00CCB" w14:textId="77777777" w:rsidR="004B68B0" w:rsidRPr="004B68B0" w:rsidRDefault="004B68B0" w:rsidP="004B68B0">
      <w:pPr>
        <w:spacing w:after="0" w:line="240" w:lineRule="auto"/>
        <w:jc w:val="both"/>
        <w:rPr>
          <w:lang w:val="sr-Cyrl-RS"/>
        </w:rPr>
      </w:pPr>
    </w:p>
    <w:p w14:paraId="02B781F8" w14:textId="21FC5FAE" w:rsidR="004B68B0" w:rsidRPr="004B68B0" w:rsidRDefault="004B68B0" w:rsidP="004B68B0">
      <w:pPr>
        <w:pStyle w:val="ListParagraph"/>
        <w:numPr>
          <w:ilvl w:val="0"/>
          <w:numId w:val="22"/>
        </w:numPr>
        <w:spacing w:after="0" w:line="240" w:lineRule="auto"/>
        <w:jc w:val="both"/>
        <w:rPr>
          <w:b/>
          <w:bCs/>
          <w:lang w:val="sr-Cyrl-RS"/>
        </w:rPr>
      </w:pPr>
      <w:r w:rsidRPr="004B68B0">
        <w:rPr>
          <w:b/>
          <w:bCs/>
          <w:lang w:val="sr-Cyrl-RS"/>
        </w:rPr>
        <w:t>Obrazac za cijenu ponude i tehnička specifikacija nisu u skladu sa zakonom</w:t>
      </w:r>
    </w:p>
    <w:p w14:paraId="5501BFBD" w14:textId="77777777" w:rsidR="004B68B0" w:rsidRPr="004B68B0" w:rsidRDefault="004B68B0" w:rsidP="004B68B0">
      <w:pPr>
        <w:spacing w:after="0" w:line="240" w:lineRule="auto"/>
        <w:jc w:val="both"/>
        <w:rPr>
          <w:lang w:val="sr-Cyrl-RS"/>
        </w:rPr>
      </w:pPr>
    </w:p>
    <w:p w14:paraId="3F259BCA" w14:textId="77777777" w:rsidR="004B68B0" w:rsidRPr="004B68B0" w:rsidRDefault="004B68B0" w:rsidP="004B68B0">
      <w:pPr>
        <w:spacing w:after="0" w:line="240" w:lineRule="auto"/>
        <w:jc w:val="both"/>
        <w:rPr>
          <w:lang w:val="sr-Cyrl-RS"/>
        </w:rPr>
      </w:pPr>
      <w:r w:rsidRPr="004B68B0">
        <w:rPr>
          <w:lang w:val="sr-Cyrl-RS"/>
        </w:rPr>
        <w:t>Detaljan opis predmeta nabavke nalazi u Aneksu 3 – Obrazac za cijenu ponude. Dakle, Obrazac za cijenu ponude predstavlja i tehničku specifikaciju.</w:t>
      </w:r>
    </w:p>
    <w:p w14:paraId="20D674F8" w14:textId="77777777" w:rsidR="004B68B0" w:rsidRPr="004B68B0" w:rsidRDefault="004B68B0" w:rsidP="004B68B0">
      <w:pPr>
        <w:spacing w:after="0" w:line="240" w:lineRule="auto"/>
        <w:jc w:val="both"/>
        <w:rPr>
          <w:lang w:val="sr-Cyrl-RS"/>
        </w:rPr>
      </w:pPr>
    </w:p>
    <w:p w14:paraId="5E5206BD" w14:textId="77777777" w:rsidR="004B68B0" w:rsidRPr="004B68B0" w:rsidRDefault="004B68B0" w:rsidP="004B68B0">
      <w:pPr>
        <w:spacing w:after="0" w:line="240" w:lineRule="auto"/>
        <w:jc w:val="both"/>
        <w:rPr>
          <w:lang w:val="sr-Cyrl-RS"/>
        </w:rPr>
      </w:pPr>
      <w:r w:rsidRPr="004B68B0">
        <w:rPr>
          <w:lang w:val="sr-Cyrl-RS"/>
        </w:rPr>
        <w:t xml:space="preserve">Iz Obrasca za cijenu ponude je vidljivo da ugovorni organ zahtjeva proizvode tačno određenog proizvođača u svim stavkama osim stavke 5. Obrasca za cijenu ponude. Ugovorni organ jeste postupio u skladu sa članom 54. stav (9) Zakona kojim je propisano da je upućivanje na određenog proizvođača, na porijeklo ili na poseban postupak, na marke, patente, tipove ili određeno porijeklo dozvoljeno samo izuzetno, ali se bez izuzetka moraju označiti sa dodatkom „ili ekvivalent“. </w:t>
      </w:r>
    </w:p>
    <w:p w14:paraId="0BD966CA" w14:textId="77777777" w:rsidR="004B68B0" w:rsidRPr="004B68B0" w:rsidRDefault="004B68B0" w:rsidP="004B68B0">
      <w:pPr>
        <w:spacing w:after="0" w:line="240" w:lineRule="auto"/>
        <w:jc w:val="both"/>
        <w:rPr>
          <w:lang w:val="sr-Cyrl-RS"/>
        </w:rPr>
      </w:pPr>
    </w:p>
    <w:p w14:paraId="2E491CF7" w14:textId="77777777" w:rsidR="004B68B0" w:rsidRPr="004B68B0" w:rsidRDefault="004B68B0" w:rsidP="004B68B0">
      <w:pPr>
        <w:spacing w:after="0" w:line="240" w:lineRule="auto"/>
        <w:jc w:val="both"/>
        <w:rPr>
          <w:lang w:val="sr-Cyrl-RS"/>
        </w:rPr>
      </w:pPr>
      <w:r w:rsidRPr="004B68B0">
        <w:rPr>
          <w:lang w:val="sr-Cyrl-RS"/>
        </w:rPr>
        <w:t>Dokaz:</w:t>
      </w:r>
    </w:p>
    <w:p w14:paraId="45E8F171" w14:textId="4E10802B" w:rsidR="004B68B0" w:rsidRPr="004B68B0" w:rsidRDefault="004B68B0" w:rsidP="004B68B0">
      <w:pPr>
        <w:pStyle w:val="ListParagraph"/>
        <w:numPr>
          <w:ilvl w:val="0"/>
          <w:numId w:val="25"/>
        </w:numPr>
        <w:spacing w:after="0" w:line="240" w:lineRule="auto"/>
        <w:ind w:left="709" w:hanging="283"/>
        <w:jc w:val="both"/>
        <w:rPr>
          <w:lang w:val="sr-Cyrl-RS"/>
        </w:rPr>
      </w:pPr>
      <w:r w:rsidRPr="004B68B0">
        <w:rPr>
          <w:lang w:val="sr-Cyrl-RS"/>
        </w:rPr>
        <w:t>Obrazac za cijenu ponuda (Aneks 2)</w:t>
      </w:r>
    </w:p>
    <w:p w14:paraId="1483615B" w14:textId="77777777" w:rsidR="004B68B0" w:rsidRPr="004B68B0" w:rsidRDefault="004B68B0" w:rsidP="004B68B0">
      <w:pPr>
        <w:spacing w:after="0" w:line="240" w:lineRule="auto"/>
        <w:jc w:val="both"/>
        <w:rPr>
          <w:lang w:val="sr-Cyrl-RS"/>
        </w:rPr>
      </w:pPr>
    </w:p>
    <w:p w14:paraId="0F3AA9B7" w14:textId="77777777" w:rsidR="004B68B0" w:rsidRPr="004B68B0" w:rsidRDefault="004B68B0" w:rsidP="004B68B0">
      <w:pPr>
        <w:spacing w:after="0" w:line="240" w:lineRule="auto"/>
        <w:jc w:val="both"/>
        <w:rPr>
          <w:lang w:val="sr-Cyrl-RS"/>
        </w:rPr>
      </w:pPr>
      <w:r w:rsidRPr="004B68B0">
        <w:rPr>
          <w:lang w:val="sr-Cyrl-RS"/>
        </w:rPr>
        <w:t>Međutim, ugovorni organ nije jasno i precizno odredio kriterijume mjerodavne za ocjenjivanje ekvivalentnosti u opisu predmeta nabavke za navedne stavke, a što je u suprotnosti sa članovima 54. stav (10) i 53. stav (1) Zakona o javnim nabavkama, te člana član 3. stav (2) tačka b) podtačka 2) Uputstva. Na isto ukazuje i Rješenje Kancelarije za razmatranje žalbi broj: JN2-03-07-1-1813-7/23 od 09.08.2023. godine.</w:t>
      </w:r>
    </w:p>
    <w:p w14:paraId="588D9A29" w14:textId="77777777" w:rsidR="004B68B0" w:rsidRPr="004B68B0" w:rsidRDefault="004B68B0" w:rsidP="004B68B0">
      <w:pPr>
        <w:spacing w:after="0" w:line="240" w:lineRule="auto"/>
        <w:jc w:val="both"/>
        <w:rPr>
          <w:lang w:val="sr-Cyrl-RS"/>
        </w:rPr>
      </w:pPr>
    </w:p>
    <w:p w14:paraId="4B5FF813" w14:textId="77777777" w:rsidR="004B68B0" w:rsidRPr="004B68B0" w:rsidRDefault="004B68B0" w:rsidP="004B68B0">
      <w:pPr>
        <w:spacing w:after="0" w:line="240" w:lineRule="auto"/>
        <w:jc w:val="both"/>
        <w:rPr>
          <w:lang w:val="sr-Cyrl-RS"/>
        </w:rPr>
      </w:pPr>
      <w:r w:rsidRPr="004B68B0">
        <w:rPr>
          <w:lang w:val="sr-Cyrl-RS"/>
        </w:rPr>
        <w:t>Takođe, analizirajući ožalbenu tendersku dokumentaciju utvrđeno je da u Obrascu za cijenu ponude (Aneks 3), ugovorni organ nije ostavio ni prazan prostor u koji bi ponuđači koji nude ekvivalent za navedene stavke, na predviđenim praznim mjestima, prema odgovarajućim stavkama, naveli podatke o prizvodu i tipu odgovarajućeg proizvoda koji nude, i na taj način dokazali ekvivalentnost onoga što nude.</w:t>
      </w:r>
    </w:p>
    <w:p w14:paraId="3BBCE14C" w14:textId="77777777" w:rsidR="004B68B0" w:rsidRPr="004B68B0" w:rsidRDefault="004B68B0" w:rsidP="004B68B0">
      <w:pPr>
        <w:spacing w:after="0" w:line="240" w:lineRule="auto"/>
        <w:jc w:val="both"/>
        <w:rPr>
          <w:lang w:val="sr-Cyrl-RS"/>
        </w:rPr>
      </w:pPr>
    </w:p>
    <w:p w14:paraId="581BE5C4" w14:textId="77777777" w:rsidR="004B68B0" w:rsidRPr="004B68B0" w:rsidRDefault="004B68B0" w:rsidP="004B68B0">
      <w:pPr>
        <w:spacing w:after="0" w:line="240" w:lineRule="auto"/>
        <w:jc w:val="both"/>
        <w:rPr>
          <w:lang w:val="sr-Cyrl-RS"/>
        </w:rPr>
      </w:pPr>
      <w:r w:rsidRPr="004B68B0">
        <w:rPr>
          <w:lang w:val="sr-Cyrl-RS"/>
        </w:rPr>
        <w:t>Ugovorni organ je praktično time spriječio mogućnost dostavljanja ekvivalenta, a što nije u skladu sa članom 54. stav (9) i (10) Zakona, te opštim principima iz člana 3. Zakona.</w:t>
      </w:r>
    </w:p>
    <w:p w14:paraId="414A8325" w14:textId="77777777" w:rsidR="004B68B0" w:rsidRPr="004B68B0" w:rsidRDefault="004B68B0" w:rsidP="004B68B0">
      <w:pPr>
        <w:spacing w:after="0" w:line="240" w:lineRule="auto"/>
        <w:jc w:val="both"/>
        <w:rPr>
          <w:lang w:val="sr-Cyrl-RS"/>
        </w:rPr>
      </w:pPr>
    </w:p>
    <w:p w14:paraId="6295EE58" w14:textId="77777777" w:rsidR="004B68B0" w:rsidRPr="004B68B0" w:rsidRDefault="004B68B0" w:rsidP="004B68B0">
      <w:pPr>
        <w:spacing w:after="0" w:line="240" w:lineRule="auto"/>
        <w:jc w:val="both"/>
        <w:rPr>
          <w:lang w:val="sr-Cyrl-RS"/>
        </w:rPr>
      </w:pPr>
      <w:r w:rsidRPr="004B68B0">
        <w:rPr>
          <w:lang w:val="sr-Cyrl-RS"/>
        </w:rPr>
        <w:t>Naravno, kriterijumi mjerodavni za ocijenjivanje ekvivalentnosti nikako ne mogu biti koncipirani na način da ugovorni organ prepiše sastav pojedinih željenih proizvoda nego moraju biti objektivni i mjerodavni za ekvivalentnost na način da se zaista i drugim ponuđačima omogući dostavljanje ponuda prema stvarnim potrebama ugovornog organa, a ne prema njegovim preferencijama.</w:t>
      </w:r>
    </w:p>
    <w:p w14:paraId="2CE57FE2" w14:textId="77777777" w:rsidR="004B68B0" w:rsidRPr="004B68B0" w:rsidRDefault="004B68B0" w:rsidP="004B68B0">
      <w:pPr>
        <w:spacing w:after="0" w:line="240" w:lineRule="auto"/>
        <w:jc w:val="both"/>
        <w:rPr>
          <w:lang w:val="sr-Cyrl-RS"/>
        </w:rPr>
      </w:pPr>
    </w:p>
    <w:p w14:paraId="7B67D9BD" w14:textId="5C207EF4" w:rsidR="004B68B0" w:rsidRPr="004B68B0" w:rsidRDefault="004B68B0" w:rsidP="004B68B0">
      <w:pPr>
        <w:pStyle w:val="ListParagraph"/>
        <w:numPr>
          <w:ilvl w:val="0"/>
          <w:numId w:val="30"/>
        </w:numPr>
        <w:spacing w:after="0" w:line="240" w:lineRule="auto"/>
        <w:ind w:left="567" w:hanging="283"/>
        <w:jc w:val="both"/>
        <w:rPr>
          <w:lang w:val="sr-Cyrl-RS"/>
        </w:rPr>
      </w:pPr>
      <w:r w:rsidRPr="004B68B0">
        <w:rPr>
          <w:lang w:val="sr-Cyrl-RS"/>
        </w:rPr>
        <w:t>Stoga, zahtjevamo od ugovornog organa da uskladi tehničku specifikaciju (Obrazac za cijenu ponude- Prilog 3.) u skladu sa naprijed navedenim napomenama, tj. na način da omogući dostavljanje ekvivalenta za stavke gdje je to potrebno (sve sem stavke 5.).</w:t>
      </w:r>
    </w:p>
    <w:p w14:paraId="5A19234A" w14:textId="77777777" w:rsidR="004B68B0" w:rsidRPr="004B68B0" w:rsidRDefault="004B68B0" w:rsidP="004B68B0">
      <w:pPr>
        <w:spacing w:after="0" w:line="240" w:lineRule="auto"/>
        <w:jc w:val="both"/>
        <w:rPr>
          <w:lang w:val="sr-Cyrl-RS"/>
        </w:rPr>
      </w:pPr>
    </w:p>
    <w:p w14:paraId="116BC300" w14:textId="77777777" w:rsidR="004B68B0" w:rsidRPr="004B68B0" w:rsidRDefault="004B68B0" w:rsidP="004B68B0">
      <w:pPr>
        <w:spacing w:after="0" w:line="240" w:lineRule="auto"/>
        <w:jc w:val="both"/>
        <w:rPr>
          <w:lang w:val="sr-Cyrl-RS"/>
        </w:rPr>
      </w:pPr>
      <w:r w:rsidRPr="004B68B0">
        <w:rPr>
          <w:lang w:val="sr-Cyrl-RS"/>
        </w:rPr>
        <w:t>Imajući u vidu sve naprijed navedeno, podnosilac žalbe predlaže da:</w:t>
      </w:r>
    </w:p>
    <w:p w14:paraId="6E2486CD" w14:textId="12C3422B" w:rsidR="004B68B0" w:rsidRPr="004B68B0" w:rsidRDefault="004B68B0" w:rsidP="004B68B0">
      <w:pPr>
        <w:pStyle w:val="ListParagraph"/>
        <w:numPr>
          <w:ilvl w:val="0"/>
          <w:numId w:val="32"/>
        </w:numPr>
        <w:spacing w:after="0" w:line="240" w:lineRule="auto"/>
        <w:ind w:left="709" w:hanging="425"/>
        <w:jc w:val="both"/>
        <w:rPr>
          <w:lang w:val="sr-Cyrl-RS"/>
        </w:rPr>
      </w:pPr>
      <w:r w:rsidRPr="004B68B0">
        <w:rPr>
          <w:lang w:val="sr-Cyrl-RS"/>
        </w:rPr>
        <w:t>Ugovorni organ, u skladu sa članom 100. stav (1) Zakona utvrdi da je žalba blagovremena i dopuštena, izjavljena od ovlaštenog i aktivno legitimisanog lica,</w:t>
      </w:r>
    </w:p>
    <w:p w14:paraId="0A546255" w14:textId="0208A6E5" w:rsidR="004B68B0" w:rsidRPr="004B68B0" w:rsidRDefault="004B68B0" w:rsidP="004B68B0">
      <w:pPr>
        <w:pStyle w:val="ListParagraph"/>
        <w:numPr>
          <w:ilvl w:val="0"/>
          <w:numId w:val="32"/>
        </w:numPr>
        <w:spacing w:after="0" w:line="240" w:lineRule="auto"/>
        <w:ind w:left="709" w:hanging="425"/>
        <w:jc w:val="both"/>
        <w:rPr>
          <w:lang w:val="sr-Cyrl-RS"/>
        </w:rPr>
      </w:pPr>
      <w:r w:rsidRPr="004B68B0">
        <w:rPr>
          <w:lang w:val="sr-Cyrl-RS"/>
        </w:rPr>
        <w:t>Ugovorni organ, u skladu sa članom 100. stav (3) Zakona utvrdi da je žalba osnovana, uvaži navode iz žalbe, te izmjeni tendersku dokumentaciju na način zahtjevan žalbom i tako izmjenjenu tendersku dokumentaciju objavi na Portalu javnih nabavki, ili poništi postupak javne nabavke, a sve u skladu sa Zakonom i naprijed iznesenim navodima;</w:t>
      </w:r>
    </w:p>
    <w:p w14:paraId="624D1418" w14:textId="659E761E" w:rsidR="004B68B0" w:rsidRPr="004B68B0" w:rsidRDefault="004B68B0" w:rsidP="004B68B0">
      <w:pPr>
        <w:pStyle w:val="ListParagraph"/>
        <w:numPr>
          <w:ilvl w:val="0"/>
          <w:numId w:val="32"/>
        </w:numPr>
        <w:spacing w:after="0" w:line="240" w:lineRule="auto"/>
        <w:ind w:left="709" w:hanging="425"/>
        <w:jc w:val="both"/>
        <w:rPr>
          <w:lang w:val="sr-Cyrl-RS"/>
        </w:rPr>
      </w:pPr>
      <w:r w:rsidRPr="004B68B0">
        <w:rPr>
          <w:lang w:val="sr-Cyrl-RS"/>
        </w:rPr>
        <w:t xml:space="preserve">Isplati troškove sastava žalbe po punomoćniku Draženu Vidakoviću u iznosu od </w:t>
      </w:r>
      <w:r w:rsidR="00895E87">
        <w:rPr>
          <w:lang w:val="sr-Latn-RS"/>
        </w:rPr>
        <w:t>1.1250,00</w:t>
      </w:r>
      <w:r w:rsidRPr="004B68B0">
        <w:rPr>
          <w:lang w:val="sr-Cyrl-RS"/>
        </w:rPr>
        <w:t xml:space="preserve"> KM ( u skladu sa AT </w:t>
      </w:r>
      <w:r w:rsidR="00895E87">
        <w:rPr>
          <w:lang w:val="sr-Latn-RS"/>
        </w:rPr>
        <w:t>300</w:t>
      </w:r>
      <w:r w:rsidRPr="004B68B0">
        <w:rPr>
          <w:lang w:val="sr-Cyrl-RS"/>
        </w:rPr>
        <w:t xml:space="preserve"> bodova, paušal 25%, sve uvećano za 50% na ime postupanja po pravnom lijeku), ili</w:t>
      </w:r>
    </w:p>
    <w:p w14:paraId="4208C5EB" w14:textId="2210A732" w:rsidR="004B68B0" w:rsidRPr="004B68B0" w:rsidRDefault="004B68B0" w:rsidP="004B68B0">
      <w:pPr>
        <w:pStyle w:val="ListParagraph"/>
        <w:numPr>
          <w:ilvl w:val="0"/>
          <w:numId w:val="32"/>
        </w:numPr>
        <w:spacing w:after="0" w:line="240" w:lineRule="auto"/>
        <w:ind w:left="709" w:hanging="425"/>
        <w:jc w:val="both"/>
        <w:rPr>
          <w:lang w:val="sr-Cyrl-RS"/>
        </w:rPr>
      </w:pPr>
      <w:r w:rsidRPr="004B68B0">
        <w:rPr>
          <w:lang w:val="sr-Cyrl-RS"/>
        </w:rPr>
        <w:t>Proslijedi žalbu na odlučivanje Kancelariji za razmatranje žalbi u roku od pet dana od dana zaprimanja iste u skladu sa članom 100. stav (5) Zakona.</w:t>
      </w:r>
    </w:p>
    <w:p w14:paraId="659DA31B" w14:textId="77777777" w:rsidR="004B68B0" w:rsidRPr="004B68B0" w:rsidRDefault="004B68B0" w:rsidP="004B68B0">
      <w:pPr>
        <w:spacing w:after="0" w:line="240" w:lineRule="auto"/>
        <w:jc w:val="both"/>
        <w:rPr>
          <w:lang w:val="sr-Cyrl-RS"/>
        </w:rPr>
      </w:pPr>
    </w:p>
    <w:p w14:paraId="6B8741BC" w14:textId="77777777" w:rsidR="004B68B0" w:rsidRPr="004B68B0" w:rsidRDefault="004B68B0" w:rsidP="004B68B0">
      <w:pPr>
        <w:spacing w:after="0" w:line="240" w:lineRule="auto"/>
        <w:jc w:val="both"/>
        <w:rPr>
          <w:lang w:val="sr-Cyrl-RS"/>
        </w:rPr>
      </w:pPr>
      <w:r w:rsidRPr="004B68B0">
        <w:rPr>
          <w:lang w:val="sr-Cyrl-RS"/>
        </w:rPr>
        <w:tab/>
        <w:t>Kancelariju za razmatranje žalbi podnosilac žalbe poziva da razmotri ovdje navedene nezakonitosti, žalbu usvoji, poništi pobijanu tendersku dokumentaciju u cijelosti i vrati postupak ugovornom organu na ponovno postupanje. Takođe, podnosilac žalbe poziva Kancelariju za razmatranje žalbi da naloži ugovornom organu da isplati navedene troškove sastava žalbe.</w:t>
      </w:r>
    </w:p>
    <w:p w14:paraId="3EF1BDF6" w14:textId="77777777" w:rsidR="004B68B0" w:rsidRPr="004B68B0" w:rsidRDefault="004B68B0" w:rsidP="004B68B0">
      <w:pPr>
        <w:spacing w:after="0" w:line="240" w:lineRule="auto"/>
        <w:jc w:val="both"/>
        <w:rPr>
          <w:lang w:val="sr-Cyrl-RS"/>
        </w:rPr>
      </w:pPr>
    </w:p>
    <w:p w14:paraId="5B115929" w14:textId="77777777" w:rsidR="004B68B0" w:rsidRPr="004B68B0" w:rsidRDefault="004B68B0" w:rsidP="004B68B0">
      <w:pPr>
        <w:spacing w:after="0" w:line="240" w:lineRule="auto"/>
        <w:jc w:val="right"/>
        <w:rPr>
          <w:lang w:val="sr-Cyrl-RS"/>
        </w:rPr>
      </w:pPr>
      <w:r w:rsidRPr="004B68B0">
        <w:rPr>
          <w:lang w:val="sr-Cyrl-RS"/>
        </w:rPr>
        <w:t>Podnosilac žalbe, po punomoćniku:</w:t>
      </w:r>
    </w:p>
    <w:p w14:paraId="5B433F80" w14:textId="77777777" w:rsidR="004B68B0" w:rsidRDefault="004B68B0" w:rsidP="004B68B0">
      <w:pPr>
        <w:spacing w:after="0" w:line="240" w:lineRule="auto"/>
        <w:jc w:val="both"/>
        <w:rPr>
          <w:lang w:val="sr-Cyrl-RS"/>
        </w:rPr>
      </w:pPr>
    </w:p>
    <w:p w14:paraId="43966F15" w14:textId="4BE99699" w:rsidR="004B68B0" w:rsidRPr="004B68B0" w:rsidRDefault="004B68B0" w:rsidP="004B68B0">
      <w:pPr>
        <w:spacing w:after="0" w:line="240" w:lineRule="auto"/>
        <w:jc w:val="both"/>
        <w:rPr>
          <w:lang w:val="sr-Cyrl-RS"/>
        </w:rPr>
      </w:pPr>
      <w:r w:rsidRPr="004B68B0">
        <w:rPr>
          <w:lang w:val="sr-Cyrl-RS"/>
        </w:rPr>
        <w:t>PRILOG:</w:t>
      </w:r>
    </w:p>
    <w:p w14:paraId="7D3055C3" w14:textId="2E18D72F" w:rsidR="004B68B0" w:rsidRPr="004B68B0" w:rsidRDefault="004B68B0" w:rsidP="004B68B0">
      <w:pPr>
        <w:pStyle w:val="ListParagraph"/>
        <w:numPr>
          <w:ilvl w:val="0"/>
          <w:numId w:val="33"/>
        </w:numPr>
        <w:spacing w:after="0" w:line="240" w:lineRule="auto"/>
        <w:jc w:val="both"/>
        <w:rPr>
          <w:lang w:val="sr-Cyrl-RS"/>
        </w:rPr>
      </w:pPr>
      <w:r w:rsidRPr="004B68B0">
        <w:rPr>
          <w:lang w:val="sr-Cyrl-RS"/>
        </w:rPr>
        <w:t>Punomoćje</w:t>
      </w:r>
    </w:p>
    <w:p w14:paraId="42571193" w14:textId="52D6DB84" w:rsidR="004B68B0" w:rsidRPr="004B68B0" w:rsidRDefault="004B68B0" w:rsidP="004B68B0">
      <w:pPr>
        <w:pStyle w:val="ListParagraph"/>
        <w:numPr>
          <w:ilvl w:val="0"/>
          <w:numId w:val="33"/>
        </w:numPr>
        <w:spacing w:after="0" w:line="240" w:lineRule="auto"/>
        <w:jc w:val="both"/>
        <w:rPr>
          <w:lang w:val="sr-Cyrl-RS"/>
        </w:rPr>
      </w:pPr>
      <w:r w:rsidRPr="004B68B0">
        <w:rPr>
          <w:lang w:val="sr-Cyrl-RS"/>
        </w:rPr>
        <w:t>Rješenje o registraciji (kopija)</w:t>
      </w:r>
    </w:p>
    <w:p w14:paraId="214A186F" w14:textId="05255DFB" w:rsidR="004B68B0" w:rsidRPr="004B68B0" w:rsidRDefault="004B68B0" w:rsidP="004B68B0">
      <w:pPr>
        <w:pStyle w:val="ListParagraph"/>
        <w:numPr>
          <w:ilvl w:val="0"/>
          <w:numId w:val="33"/>
        </w:numPr>
        <w:spacing w:after="0" w:line="240" w:lineRule="auto"/>
        <w:jc w:val="both"/>
        <w:rPr>
          <w:lang w:val="sr-Cyrl-RS"/>
        </w:rPr>
      </w:pPr>
      <w:r w:rsidRPr="004B68B0">
        <w:rPr>
          <w:lang w:val="sr-Cyrl-RS"/>
        </w:rPr>
        <w:t>Izvještaj o preuzimanju TD</w:t>
      </w:r>
    </w:p>
    <w:p w14:paraId="601342A8" w14:textId="6BCFB024" w:rsidR="001655BF" w:rsidRPr="004B68B0" w:rsidRDefault="004B68B0" w:rsidP="004B68B0">
      <w:pPr>
        <w:pStyle w:val="ListParagraph"/>
        <w:numPr>
          <w:ilvl w:val="0"/>
          <w:numId w:val="33"/>
        </w:numPr>
        <w:spacing w:after="0" w:line="240" w:lineRule="auto"/>
        <w:jc w:val="both"/>
        <w:rPr>
          <w:rFonts w:ascii="Calibri" w:eastAsia="Times New Roman" w:hAnsi="Calibri" w:cs="Times New Roman"/>
          <w:noProof/>
          <w:lang w:val="sr-Cyrl-RS" w:eastAsia="bs-Latn-BA"/>
        </w:rPr>
      </w:pPr>
      <w:r w:rsidRPr="004B68B0">
        <w:rPr>
          <w:lang w:val="sr-Cyrl-RS"/>
        </w:rPr>
        <w:t>Tumačenje ISO 22 000 standarda sa zvanične veb stranice Instituta za standardizaciju BiH (snimak ekrana)</w:t>
      </w:r>
    </w:p>
    <w:sectPr w:rsidR="001655BF" w:rsidRPr="004B68B0" w:rsidSect="008B418F">
      <w:headerReference w:type="default" r:id="rId8"/>
      <w:footerReference w:type="default" r:id="rId9"/>
      <w:pgSz w:w="11906" w:h="16838" w:code="9"/>
      <w:pgMar w:top="192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B7CB" w14:textId="77777777" w:rsidR="004E1DF6" w:rsidRDefault="004E1DF6" w:rsidP="00386608">
      <w:pPr>
        <w:spacing w:after="0" w:line="240" w:lineRule="auto"/>
      </w:pPr>
      <w:r>
        <w:separator/>
      </w:r>
    </w:p>
  </w:endnote>
  <w:endnote w:type="continuationSeparator" w:id="0">
    <w:p w14:paraId="21335BF2" w14:textId="77777777" w:rsidR="004E1DF6" w:rsidRDefault="004E1DF6" w:rsidP="0038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71A1" w14:textId="7222D2EF" w:rsidR="002D4636" w:rsidRPr="002D4636" w:rsidRDefault="002D4636" w:rsidP="002D4636">
    <w:pPr>
      <w:pStyle w:val="Footer"/>
      <w:jc w:val="center"/>
      <w:rPr>
        <w:lang w:val="sr-Cyrl-RS"/>
      </w:rPr>
    </w:pPr>
    <w:r>
      <w:rPr>
        <w:noProof/>
      </w:rPr>
      <mc:AlternateContent>
        <mc:Choice Requires="wps">
          <w:drawing>
            <wp:anchor distT="0" distB="0" distL="114300" distR="114300" simplePos="0" relativeHeight="251659264" behindDoc="1" locked="0" layoutInCell="1" allowOverlap="1" wp14:anchorId="7D5A4E75" wp14:editId="76D0D369">
              <wp:simplePos x="0" y="0"/>
              <wp:positionH relativeFrom="margin">
                <wp:align>center</wp:align>
              </wp:positionH>
              <wp:positionV relativeFrom="paragraph">
                <wp:posOffset>-86360</wp:posOffset>
              </wp:positionV>
              <wp:extent cx="6677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677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75C72" id="Straight Connector 2"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text" from="0,-6.8pt" to="52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" strokecolor="#4472c4 [3204]" strokeweight=".5pt">
              <v:stroke joinstyle="miter"/>
              <w10:wrap anchorx="margin"/>
            </v:line>
          </w:pict>
        </mc:Fallback>
      </mc:AlternateContent>
    </w:r>
    <w:r>
      <w:t>J</w:t>
    </w:r>
    <w:r w:rsidR="008B418F">
      <w:rPr>
        <w:lang w:val="sr-Cyrl-RS"/>
      </w:rPr>
      <w:t>ИБ</w:t>
    </w:r>
    <w:r>
      <w:rPr>
        <w:lang w:val="sr-Cyrl-RS"/>
      </w:rPr>
      <w:t>:</w:t>
    </w:r>
    <w:r>
      <w:t xml:space="preserve"> </w:t>
    </w:r>
    <w:r w:rsidR="002E0D91">
      <w:t>4512939320003</w:t>
    </w:r>
    <w:r>
      <w:rPr>
        <w:lang w:val="sr-Cyrl-RS"/>
      </w:rPr>
      <w:t xml:space="preserve">, жр: </w:t>
    </w:r>
    <w:r w:rsidR="002E0D91">
      <w:rPr>
        <w:lang w:val="sr-Latn-RS"/>
      </w:rPr>
      <w:t>5551000061309206,</w:t>
    </w:r>
    <w:r>
      <w:rPr>
        <w:lang w:val="sr-Cyrl-RS"/>
      </w:rPr>
      <w:t xml:space="preserve"> Нова Банка а.д. Бања Лука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9E16" w14:textId="77777777" w:rsidR="004E1DF6" w:rsidRDefault="004E1DF6" w:rsidP="00386608">
      <w:pPr>
        <w:spacing w:after="0" w:line="240" w:lineRule="auto"/>
      </w:pPr>
      <w:r>
        <w:separator/>
      </w:r>
    </w:p>
  </w:footnote>
  <w:footnote w:type="continuationSeparator" w:id="0">
    <w:p w14:paraId="64922950" w14:textId="77777777" w:rsidR="004E1DF6" w:rsidRDefault="004E1DF6" w:rsidP="0038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5"/>
      <w:gridCol w:w="5855"/>
      <w:gridCol w:w="3228"/>
    </w:tblGrid>
    <w:tr w:rsidR="00851FB9" w14:paraId="0D85CE5A" w14:textId="77777777" w:rsidTr="00FA5107">
      <w:trPr>
        <w:trHeight w:val="20"/>
        <w:jc w:val="center"/>
      </w:trPr>
      <w:tc>
        <w:tcPr>
          <w:tcW w:w="895" w:type="dxa"/>
          <w:vMerge w:val="restart"/>
        </w:tcPr>
        <w:p w14:paraId="78EB986C" w14:textId="62A955F4" w:rsidR="00851FB9" w:rsidRDefault="00851FB9" w:rsidP="00085D1E">
          <w:pPr>
            <w:pStyle w:val="Header"/>
            <w:tabs>
              <w:tab w:val="clear" w:pos="9360"/>
              <w:tab w:val="right" w:pos="2895"/>
            </w:tabs>
            <w:ind w:hanging="30"/>
          </w:pPr>
          <w:r>
            <w:rPr>
              <w:noProof/>
            </w:rPr>
            <w:drawing>
              <wp:inline distT="0" distB="0" distL="0" distR="0" wp14:anchorId="22FD5D02" wp14:editId="607A28D1">
                <wp:extent cx="523875" cy="400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pic:spPr>
                    </pic:pic>
                  </a:graphicData>
                </a:graphic>
              </wp:inline>
            </w:drawing>
          </w:r>
        </w:p>
      </w:tc>
      <w:tc>
        <w:tcPr>
          <w:tcW w:w="5855" w:type="dxa"/>
          <w:tcBorders>
            <w:right w:val="single" w:sz="4" w:space="0" w:color="auto"/>
          </w:tcBorders>
          <w:vAlign w:val="bottom"/>
        </w:tcPr>
        <w:p w14:paraId="01435EAD" w14:textId="7C5AC1D3" w:rsidR="00851FB9" w:rsidRPr="00B40354" w:rsidRDefault="00851FB9" w:rsidP="00386608">
          <w:pPr>
            <w:pStyle w:val="Header"/>
            <w:rPr>
              <w:sz w:val="21"/>
              <w:szCs w:val="21"/>
            </w:rPr>
          </w:pPr>
          <w:r w:rsidRPr="00B40354">
            <w:rPr>
              <w:rFonts w:ascii="Palatino Linotype" w:hAnsi="Palatino Linotype"/>
              <w:color w:val="2F5496" w:themeColor="accent1" w:themeShade="BF"/>
              <w:sz w:val="21"/>
              <w:szCs w:val="21"/>
              <w:lang w:val="sr-Cyrl-RS"/>
            </w:rPr>
            <w:t>АДВОКАТ</w:t>
          </w:r>
        </w:p>
      </w:tc>
      <w:tc>
        <w:tcPr>
          <w:tcW w:w="3228" w:type="dxa"/>
          <w:vMerge w:val="restart"/>
          <w:tcBorders>
            <w:left w:val="single" w:sz="4" w:space="0" w:color="auto"/>
          </w:tcBorders>
        </w:tcPr>
        <w:p w14:paraId="76227E1E" w14:textId="77777777" w:rsidR="00851FB9" w:rsidRPr="00085D1E" w:rsidRDefault="00851FB9" w:rsidP="00851FB9">
          <w:pPr>
            <w:spacing w:line="216" w:lineRule="auto"/>
            <w:rPr>
              <w:rFonts w:ascii="Palatino Linotype" w:hAnsi="Palatino Linotype"/>
              <w:b/>
              <w:bCs/>
              <w:color w:val="2F5496" w:themeColor="accent1" w:themeShade="BF"/>
              <w:sz w:val="18"/>
              <w:szCs w:val="18"/>
              <w:lang w:val="sr-Cyrl-RS"/>
            </w:rPr>
          </w:pPr>
          <w:r w:rsidRPr="00085D1E">
            <w:rPr>
              <w:rFonts w:ascii="Palatino Linotype" w:hAnsi="Palatino Linotype"/>
              <w:b/>
              <w:bCs/>
              <w:color w:val="2F5496" w:themeColor="accent1" w:themeShade="BF"/>
              <w:sz w:val="16"/>
              <w:szCs w:val="16"/>
              <w:lang w:val="sr-Cyrl-RS"/>
            </w:rPr>
            <w:t>ул. Гундулићева 98</w:t>
          </w:r>
        </w:p>
        <w:p w14:paraId="244D4806" w14:textId="77777777" w:rsidR="00851FB9" w:rsidRDefault="00851FB9" w:rsidP="00851FB9">
          <w:pPr>
            <w:pStyle w:val="Header"/>
            <w:spacing w:line="216" w:lineRule="auto"/>
          </w:pPr>
          <w:r w:rsidRPr="00E0792B">
            <w:rPr>
              <w:rFonts w:ascii="Palatino Linotype" w:hAnsi="Palatino Linotype"/>
              <w:b/>
              <w:bCs/>
              <w:color w:val="2F5496" w:themeColor="accent1" w:themeShade="BF"/>
              <w:sz w:val="16"/>
              <w:szCs w:val="16"/>
              <w:lang w:val="sr-Cyrl-RS"/>
            </w:rPr>
            <w:t>78 000 Бања Лука</w:t>
          </w:r>
        </w:p>
        <w:p w14:paraId="43D0E339" w14:textId="77777777" w:rsidR="00851FB9" w:rsidRPr="00085D1E" w:rsidRDefault="00851FB9" w:rsidP="00851FB9">
          <w:pPr>
            <w:pStyle w:val="Header"/>
            <w:spacing w:line="216" w:lineRule="auto"/>
            <w:rPr>
              <w:sz w:val="16"/>
              <w:szCs w:val="16"/>
            </w:rPr>
          </w:pPr>
          <w:r w:rsidRPr="00085D1E">
            <w:rPr>
              <w:rFonts w:ascii="Palatino Linotype" w:hAnsi="Palatino Linotype"/>
              <w:b/>
              <w:bCs/>
              <w:color w:val="2F5496" w:themeColor="accent1" w:themeShade="BF"/>
              <w:sz w:val="16"/>
              <w:szCs w:val="16"/>
              <w:lang w:val="sr-Cyrl-RS"/>
            </w:rPr>
            <w:t>тел: +387 65 867 762</w:t>
          </w:r>
        </w:p>
        <w:p w14:paraId="1093B4A5" w14:textId="3FA9E1C4" w:rsidR="00851FB9" w:rsidRPr="00085D1E" w:rsidRDefault="00851FB9" w:rsidP="00851FB9">
          <w:pPr>
            <w:pStyle w:val="Header"/>
            <w:spacing w:line="216" w:lineRule="auto"/>
            <w:rPr>
              <w:rFonts w:ascii="Palatino Linotype" w:hAnsi="Palatino Linotype"/>
              <w:b/>
              <w:bCs/>
              <w:color w:val="2F5496" w:themeColor="accent1" w:themeShade="BF"/>
              <w:sz w:val="18"/>
              <w:szCs w:val="18"/>
              <w:lang w:val="sr-Cyrl-RS"/>
            </w:rPr>
          </w:pPr>
          <w:r w:rsidRPr="00085D1E">
            <w:rPr>
              <w:rFonts w:ascii="Palatino Linotype" w:hAnsi="Palatino Linotype"/>
              <w:b/>
              <w:bCs/>
              <w:color w:val="2F5496" w:themeColor="accent1" w:themeShade="BF"/>
              <w:sz w:val="16"/>
              <w:szCs w:val="16"/>
              <w:lang w:val="sr-Cyrl-RS"/>
            </w:rPr>
            <w:t xml:space="preserve">е-адреса: </w:t>
          </w:r>
          <w:r w:rsidRPr="00085D1E">
            <w:rPr>
              <w:rFonts w:ascii="Palatino Linotype" w:hAnsi="Palatino Linotype"/>
              <w:b/>
              <w:bCs/>
              <w:color w:val="2F5496" w:themeColor="accent1" w:themeShade="BF"/>
              <w:sz w:val="16"/>
              <w:szCs w:val="16"/>
              <w:lang w:val="sr-Latn-RS"/>
            </w:rPr>
            <w:t>drazen@advokatvidakovic.com</w:t>
          </w:r>
        </w:p>
      </w:tc>
    </w:tr>
    <w:tr w:rsidR="00851FB9" w14:paraId="17347D1E" w14:textId="77777777" w:rsidTr="00FA5107">
      <w:trPr>
        <w:trHeight w:val="447"/>
        <w:jc w:val="center"/>
      </w:trPr>
      <w:tc>
        <w:tcPr>
          <w:tcW w:w="895" w:type="dxa"/>
          <w:vMerge/>
        </w:tcPr>
        <w:p w14:paraId="6149F858" w14:textId="77777777" w:rsidR="00851FB9" w:rsidRDefault="00851FB9" w:rsidP="00386608">
          <w:pPr>
            <w:pStyle w:val="Header"/>
          </w:pPr>
        </w:p>
      </w:tc>
      <w:tc>
        <w:tcPr>
          <w:tcW w:w="5855" w:type="dxa"/>
          <w:tcBorders>
            <w:right w:val="single" w:sz="4" w:space="0" w:color="auto"/>
          </w:tcBorders>
          <w:vAlign w:val="center"/>
        </w:tcPr>
        <w:p w14:paraId="6DC93F84" w14:textId="15451DC1" w:rsidR="00851FB9" w:rsidRPr="00851FB9" w:rsidRDefault="00851FB9" w:rsidP="00386608">
          <w:pPr>
            <w:pStyle w:val="Header"/>
            <w:rPr>
              <w:sz w:val="24"/>
              <w:szCs w:val="24"/>
            </w:rPr>
          </w:pPr>
          <w:r w:rsidRPr="00851FB9">
            <w:rPr>
              <w:rFonts w:ascii="Palatino Linotype" w:hAnsi="Palatino Linotype"/>
              <w:b/>
              <w:bCs/>
              <w:color w:val="2F5496" w:themeColor="accent1" w:themeShade="BF"/>
              <w:sz w:val="24"/>
              <w:szCs w:val="24"/>
              <w:lang w:val="sr-Cyrl-RS"/>
            </w:rPr>
            <w:t xml:space="preserve">ДРАЖЕН ВИДАКОВИЋ                  </w:t>
          </w:r>
        </w:p>
      </w:tc>
      <w:tc>
        <w:tcPr>
          <w:tcW w:w="3228" w:type="dxa"/>
          <w:vMerge/>
          <w:tcBorders>
            <w:left w:val="single" w:sz="4" w:space="0" w:color="auto"/>
          </w:tcBorders>
        </w:tcPr>
        <w:p w14:paraId="5C96908E" w14:textId="6A0FAB10" w:rsidR="00851FB9" w:rsidRDefault="00851FB9" w:rsidP="00386608">
          <w:pPr>
            <w:pStyle w:val="Header"/>
          </w:pPr>
        </w:p>
      </w:tc>
    </w:tr>
  </w:tbl>
  <w:p w14:paraId="73EA954F" w14:textId="2EE12140" w:rsidR="00386608" w:rsidRDefault="00386608" w:rsidP="00386608">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BB8"/>
    <w:multiLevelType w:val="hybridMultilevel"/>
    <w:tmpl w:val="0D1E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15D7"/>
    <w:multiLevelType w:val="hybridMultilevel"/>
    <w:tmpl w:val="4330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0313"/>
    <w:multiLevelType w:val="hybridMultilevel"/>
    <w:tmpl w:val="4540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22DE2"/>
    <w:multiLevelType w:val="hybridMultilevel"/>
    <w:tmpl w:val="F5C0729C"/>
    <w:lvl w:ilvl="0" w:tplc="46FED77C">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162EF"/>
    <w:multiLevelType w:val="hybridMultilevel"/>
    <w:tmpl w:val="715C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77E3"/>
    <w:multiLevelType w:val="hybridMultilevel"/>
    <w:tmpl w:val="CCAEB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16C89"/>
    <w:multiLevelType w:val="hybridMultilevel"/>
    <w:tmpl w:val="446EADF6"/>
    <w:lvl w:ilvl="0" w:tplc="815E570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6A1490"/>
    <w:multiLevelType w:val="hybridMultilevel"/>
    <w:tmpl w:val="18221D84"/>
    <w:lvl w:ilvl="0" w:tplc="46FED77C">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53190"/>
    <w:multiLevelType w:val="hybridMultilevel"/>
    <w:tmpl w:val="17D4A846"/>
    <w:lvl w:ilvl="0" w:tplc="C0340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C08AC"/>
    <w:multiLevelType w:val="hybridMultilevel"/>
    <w:tmpl w:val="FF66A2A2"/>
    <w:lvl w:ilvl="0" w:tplc="14404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84A"/>
    <w:multiLevelType w:val="hybridMultilevel"/>
    <w:tmpl w:val="B6B0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46D2F"/>
    <w:multiLevelType w:val="hybridMultilevel"/>
    <w:tmpl w:val="49EC70FA"/>
    <w:lvl w:ilvl="0" w:tplc="04090001">
      <w:start w:val="1"/>
      <w:numFmt w:val="bullet"/>
      <w:lvlText w:val=""/>
      <w:lvlJc w:val="left"/>
      <w:pPr>
        <w:ind w:left="720" w:hanging="360"/>
      </w:pPr>
      <w:rPr>
        <w:rFonts w:ascii="Symbol" w:hAnsi="Symbol" w:hint="default"/>
      </w:rPr>
    </w:lvl>
    <w:lvl w:ilvl="1" w:tplc="97BECC2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20C13"/>
    <w:multiLevelType w:val="hybridMultilevel"/>
    <w:tmpl w:val="ACA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E3BC8"/>
    <w:multiLevelType w:val="hybridMultilevel"/>
    <w:tmpl w:val="3DE4AD1A"/>
    <w:lvl w:ilvl="0" w:tplc="574EB7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F7F8D"/>
    <w:multiLevelType w:val="hybridMultilevel"/>
    <w:tmpl w:val="2D6E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E717A"/>
    <w:multiLevelType w:val="hybridMultilevel"/>
    <w:tmpl w:val="584261B2"/>
    <w:lvl w:ilvl="0" w:tplc="14404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B7910"/>
    <w:multiLevelType w:val="hybridMultilevel"/>
    <w:tmpl w:val="64D2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13040"/>
    <w:multiLevelType w:val="hybridMultilevel"/>
    <w:tmpl w:val="76F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7246C"/>
    <w:multiLevelType w:val="hybridMultilevel"/>
    <w:tmpl w:val="E59C29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8731964"/>
    <w:multiLevelType w:val="hybridMultilevel"/>
    <w:tmpl w:val="805E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04AA6"/>
    <w:multiLevelType w:val="hybridMultilevel"/>
    <w:tmpl w:val="50F07E42"/>
    <w:lvl w:ilvl="0" w:tplc="46FED77C">
      <w:numFmt w:val="bullet"/>
      <w:lvlText w:val="-"/>
      <w:lvlJc w:val="left"/>
      <w:pPr>
        <w:ind w:left="1080" w:hanging="720"/>
      </w:pPr>
      <w:rPr>
        <w:rFonts w:ascii="Calibri" w:eastAsiaTheme="minorHAnsi" w:hAnsi="Calibri" w:cstheme="minorBidi" w:hint="default"/>
        <w:b w:val="0"/>
      </w:rPr>
    </w:lvl>
    <w:lvl w:ilvl="1" w:tplc="2904F560">
      <w:start w:val="1"/>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95B4A"/>
    <w:multiLevelType w:val="hybridMultilevel"/>
    <w:tmpl w:val="F28CA766"/>
    <w:lvl w:ilvl="0" w:tplc="815E570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21576E"/>
    <w:multiLevelType w:val="hybridMultilevel"/>
    <w:tmpl w:val="A300DC3C"/>
    <w:lvl w:ilvl="0" w:tplc="A846058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D3F42"/>
    <w:multiLevelType w:val="hybridMultilevel"/>
    <w:tmpl w:val="296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D02AB"/>
    <w:multiLevelType w:val="hybridMultilevel"/>
    <w:tmpl w:val="08D2E270"/>
    <w:lvl w:ilvl="0" w:tplc="3F02BC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439A7"/>
    <w:multiLevelType w:val="hybridMultilevel"/>
    <w:tmpl w:val="157ECAB0"/>
    <w:lvl w:ilvl="0" w:tplc="46FED77C">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94BE6"/>
    <w:multiLevelType w:val="hybridMultilevel"/>
    <w:tmpl w:val="FA74D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2647A"/>
    <w:multiLevelType w:val="hybridMultilevel"/>
    <w:tmpl w:val="49908EAE"/>
    <w:lvl w:ilvl="0" w:tplc="CB18EB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41836"/>
    <w:multiLevelType w:val="hybridMultilevel"/>
    <w:tmpl w:val="CB64506E"/>
    <w:lvl w:ilvl="0" w:tplc="815E5706">
      <w:numFmt w:val="bullet"/>
      <w:lvlText w:val="-"/>
      <w:lvlJc w:val="left"/>
      <w:pPr>
        <w:ind w:left="720" w:hanging="360"/>
      </w:pPr>
      <w:rPr>
        <w:rFonts w:ascii="Calibri" w:eastAsiaTheme="minorHAnsi" w:hAnsi="Calibri" w:cs="Calibri" w:hint="default"/>
      </w:rPr>
    </w:lvl>
    <w:lvl w:ilvl="1" w:tplc="FA06616C">
      <w:start w:val="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4166F"/>
    <w:multiLevelType w:val="hybridMultilevel"/>
    <w:tmpl w:val="989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B441A"/>
    <w:multiLevelType w:val="hybridMultilevel"/>
    <w:tmpl w:val="7D7C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F4D92"/>
    <w:multiLevelType w:val="hybridMultilevel"/>
    <w:tmpl w:val="33FEE01C"/>
    <w:lvl w:ilvl="0" w:tplc="46FED77C">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30EDB"/>
    <w:multiLevelType w:val="hybridMultilevel"/>
    <w:tmpl w:val="19A63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8"/>
  </w:num>
  <w:num w:numId="4">
    <w:abstractNumId w:val="10"/>
  </w:num>
  <w:num w:numId="5">
    <w:abstractNumId w:val="26"/>
  </w:num>
  <w:num w:numId="6">
    <w:abstractNumId w:val="8"/>
  </w:num>
  <w:num w:numId="7">
    <w:abstractNumId w:val="24"/>
  </w:num>
  <w:num w:numId="8">
    <w:abstractNumId w:val="27"/>
  </w:num>
  <w:num w:numId="9">
    <w:abstractNumId w:val="11"/>
  </w:num>
  <w:num w:numId="10">
    <w:abstractNumId w:val="17"/>
  </w:num>
  <w:num w:numId="11">
    <w:abstractNumId w:val="12"/>
  </w:num>
  <w:num w:numId="12">
    <w:abstractNumId w:val="14"/>
  </w:num>
  <w:num w:numId="13">
    <w:abstractNumId w:val="2"/>
  </w:num>
  <w:num w:numId="14">
    <w:abstractNumId w:val="4"/>
  </w:num>
  <w:num w:numId="15">
    <w:abstractNumId w:val="30"/>
  </w:num>
  <w:num w:numId="16">
    <w:abstractNumId w:val="13"/>
  </w:num>
  <w:num w:numId="17">
    <w:abstractNumId w:val="22"/>
  </w:num>
  <w:num w:numId="18">
    <w:abstractNumId w:val="1"/>
  </w:num>
  <w:num w:numId="19">
    <w:abstractNumId w:val="31"/>
  </w:num>
  <w:num w:numId="20">
    <w:abstractNumId w:val="23"/>
  </w:num>
  <w:num w:numId="21">
    <w:abstractNumId w:val="28"/>
  </w:num>
  <w:num w:numId="22">
    <w:abstractNumId w:val="16"/>
  </w:num>
  <w:num w:numId="23">
    <w:abstractNumId w:val="9"/>
  </w:num>
  <w:num w:numId="24">
    <w:abstractNumId w:val="15"/>
  </w:num>
  <w:num w:numId="25">
    <w:abstractNumId w:val="20"/>
  </w:num>
  <w:num w:numId="26">
    <w:abstractNumId w:val="0"/>
  </w:num>
  <w:num w:numId="27">
    <w:abstractNumId w:val="7"/>
  </w:num>
  <w:num w:numId="28">
    <w:abstractNumId w:val="29"/>
  </w:num>
  <w:num w:numId="29">
    <w:abstractNumId w:val="21"/>
  </w:num>
  <w:num w:numId="30">
    <w:abstractNumId w:val="32"/>
  </w:num>
  <w:num w:numId="31">
    <w:abstractNumId w:val="19"/>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08"/>
    <w:rsid w:val="000169B8"/>
    <w:rsid w:val="0002117E"/>
    <w:rsid w:val="00023CAF"/>
    <w:rsid w:val="00031C1E"/>
    <w:rsid w:val="0003262C"/>
    <w:rsid w:val="000328AA"/>
    <w:rsid w:val="00062086"/>
    <w:rsid w:val="0006619F"/>
    <w:rsid w:val="00073124"/>
    <w:rsid w:val="00085D1E"/>
    <w:rsid w:val="000B0343"/>
    <w:rsid w:val="000B131A"/>
    <w:rsid w:val="000B3525"/>
    <w:rsid w:val="000C47F3"/>
    <w:rsid w:val="000F6401"/>
    <w:rsid w:val="00101373"/>
    <w:rsid w:val="00103180"/>
    <w:rsid w:val="00113A8D"/>
    <w:rsid w:val="0012269F"/>
    <w:rsid w:val="00123D93"/>
    <w:rsid w:val="001375C4"/>
    <w:rsid w:val="001638C3"/>
    <w:rsid w:val="001655BF"/>
    <w:rsid w:val="00165A5D"/>
    <w:rsid w:val="00167B56"/>
    <w:rsid w:val="00174FD6"/>
    <w:rsid w:val="00177C45"/>
    <w:rsid w:val="001A0B5B"/>
    <w:rsid w:val="001B451E"/>
    <w:rsid w:val="001D3EA3"/>
    <w:rsid w:val="001E01F2"/>
    <w:rsid w:val="001F5D3B"/>
    <w:rsid w:val="00224E2B"/>
    <w:rsid w:val="002363AB"/>
    <w:rsid w:val="00252225"/>
    <w:rsid w:val="002622AB"/>
    <w:rsid w:val="002A3684"/>
    <w:rsid w:val="002A4AB2"/>
    <w:rsid w:val="002A66B4"/>
    <w:rsid w:val="002B2017"/>
    <w:rsid w:val="002B511D"/>
    <w:rsid w:val="002C31AD"/>
    <w:rsid w:val="002D0A7E"/>
    <w:rsid w:val="002D32F3"/>
    <w:rsid w:val="002D4636"/>
    <w:rsid w:val="002D47B9"/>
    <w:rsid w:val="002D721C"/>
    <w:rsid w:val="002E0D91"/>
    <w:rsid w:val="002F0033"/>
    <w:rsid w:val="00301C27"/>
    <w:rsid w:val="003065D9"/>
    <w:rsid w:val="00314FBD"/>
    <w:rsid w:val="00321F9B"/>
    <w:rsid w:val="00324BB9"/>
    <w:rsid w:val="00335104"/>
    <w:rsid w:val="003376F4"/>
    <w:rsid w:val="00341065"/>
    <w:rsid w:val="00356D11"/>
    <w:rsid w:val="0036026B"/>
    <w:rsid w:val="00376660"/>
    <w:rsid w:val="00386608"/>
    <w:rsid w:val="003F1989"/>
    <w:rsid w:val="004075B9"/>
    <w:rsid w:val="00407F48"/>
    <w:rsid w:val="00411095"/>
    <w:rsid w:val="00411FC0"/>
    <w:rsid w:val="00415A09"/>
    <w:rsid w:val="00431187"/>
    <w:rsid w:val="00433995"/>
    <w:rsid w:val="004363C0"/>
    <w:rsid w:val="00455908"/>
    <w:rsid w:val="004568A3"/>
    <w:rsid w:val="00457DB2"/>
    <w:rsid w:val="00473B75"/>
    <w:rsid w:val="004744DF"/>
    <w:rsid w:val="00482B9F"/>
    <w:rsid w:val="00484C18"/>
    <w:rsid w:val="00491B81"/>
    <w:rsid w:val="004A1FC6"/>
    <w:rsid w:val="004B68B0"/>
    <w:rsid w:val="004B6927"/>
    <w:rsid w:val="004C57A3"/>
    <w:rsid w:val="004D1816"/>
    <w:rsid w:val="004D2AB6"/>
    <w:rsid w:val="004D6C82"/>
    <w:rsid w:val="004E1DF6"/>
    <w:rsid w:val="004F0119"/>
    <w:rsid w:val="005003C8"/>
    <w:rsid w:val="00503E54"/>
    <w:rsid w:val="0050422D"/>
    <w:rsid w:val="00504E7E"/>
    <w:rsid w:val="0051374C"/>
    <w:rsid w:val="00531E33"/>
    <w:rsid w:val="0054403C"/>
    <w:rsid w:val="0055084F"/>
    <w:rsid w:val="00556688"/>
    <w:rsid w:val="005854DA"/>
    <w:rsid w:val="005A5156"/>
    <w:rsid w:val="005B07BE"/>
    <w:rsid w:val="005B6147"/>
    <w:rsid w:val="005C2A18"/>
    <w:rsid w:val="005E0729"/>
    <w:rsid w:val="005F5701"/>
    <w:rsid w:val="00623772"/>
    <w:rsid w:val="0064155D"/>
    <w:rsid w:val="00645676"/>
    <w:rsid w:val="006662E6"/>
    <w:rsid w:val="0069502C"/>
    <w:rsid w:val="006C30DF"/>
    <w:rsid w:val="006E288F"/>
    <w:rsid w:val="006F2990"/>
    <w:rsid w:val="006F41D0"/>
    <w:rsid w:val="006F5F4E"/>
    <w:rsid w:val="007029A9"/>
    <w:rsid w:val="00735438"/>
    <w:rsid w:val="007359D2"/>
    <w:rsid w:val="00747761"/>
    <w:rsid w:val="00752C64"/>
    <w:rsid w:val="007A5839"/>
    <w:rsid w:val="007B5FD0"/>
    <w:rsid w:val="007C3F86"/>
    <w:rsid w:val="007F0FCA"/>
    <w:rsid w:val="007F5CE7"/>
    <w:rsid w:val="008026F8"/>
    <w:rsid w:val="00807576"/>
    <w:rsid w:val="0081397D"/>
    <w:rsid w:val="008265BD"/>
    <w:rsid w:val="0082697A"/>
    <w:rsid w:val="008346BE"/>
    <w:rsid w:val="00845587"/>
    <w:rsid w:val="00851FB9"/>
    <w:rsid w:val="0085237B"/>
    <w:rsid w:val="00863710"/>
    <w:rsid w:val="00863C43"/>
    <w:rsid w:val="008808C9"/>
    <w:rsid w:val="00886113"/>
    <w:rsid w:val="00891D60"/>
    <w:rsid w:val="0089460F"/>
    <w:rsid w:val="00895E87"/>
    <w:rsid w:val="008A21DA"/>
    <w:rsid w:val="008B418F"/>
    <w:rsid w:val="008C064A"/>
    <w:rsid w:val="008D6DE5"/>
    <w:rsid w:val="008F5CFC"/>
    <w:rsid w:val="009009B7"/>
    <w:rsid w:val="009108C4"/>
    <w:rsid w:val="00947BC6"/>
    <w:rsid w:val="00976080"/>
    <w:rsid w:val="00981C96"/>
    <w:rsid w:val="009972CE"/>
    <w:rsid w:val="009B53EB"/>
    <w:rsid w:val="009D3ECB"/>
    <w:rsid w:val="009D6D0C"/>
    <w:rsid w:val="009E60B0"/>
    <w:rsid w:val="009F2577"/>
    <w:rsid w:val="00A01B6E"/>
    <w:rsid w:val="00A06906"/>
    <w:rsid w:val="00A121D8"/>
    <w:rsid w:val="00A1268A"/>
    <w:rsid w:val="00A13856"/>
    <w:rsid w:val="00A179AD"/>
    <w:rsid w:val="00A2643B"/>
    <w:rsid w:val="00A30623"/>
    <w:rsid w:val="00A50DA3"/>
    <w:rsid w:val="00A55B78"/>
    <w:rsid w:val="00A715EC"/>
    <w:rsid w:val="00A7501C"/>
    <w:rsid w:val="00A75067"/>
    <w:rsid w:val="00A81F71"/>
    <w:rsid w:val="00AA0BAF"/>
    <w:rsid w:val="00AB6447"/>
    <w:rsid w:val="00AC6BB7"/>
    <w:rsid w:val="00AC79D1"/>
    <w:rsid w:val="00AD29F3"/>
    <w:rsid w:val="00AE1C0E"/>
    <w:rsid w:val="00AF1EA2"/>
    <w:rsid w:val="00B006E3"/>
    <w:rsid w:val="00B15EBE"/>
    <w:rsid w:val="00B23CD7"/>
    <w:rsid w:val="00B3258B"/>
    <w:rsid w:val="00B336C7"/>
    <w:rsid w:val="00B40354"/>
    <w:rsid w:val="00B43845"/>
    <w:rsid w:val="00B652F9"/>
    <w:rsid w:val="00B66FD6"/>
    <w:rsid w:val="00B746DD"/>
    <w:rsid w:val="00B7646F"/>
    <w:rsid w:val="00BA1F26"/>
    <w:rsid w:val="00BA59F8"/>
    <w:rsid w:val="00BA7C29"/>
    <w:rsid w:val="00BC0F91"/>
    <w:rsid w:val="00BD17A6"/>
    <w:rsid w:val="00BD1885"/>
    <w:rsid w:val="00BE51DF"/>
    <w:rsid w:val="00BF0D38"/>
    <w:rsid w:val="00BF6D9F"/>
    <w:rsid w:val="00BF6FC0"/>
    <w:rsid w:val="00C02B17"/>
    <w:rsid w:val="00C12C0F"/>
    <w:rsid w:val="00C16365"/>
    <w:rsid w:val="00C17ADA"/>
    <w:rsid w:val="00C20D76"/>
    <w:rsid w:val="00C21050"/>
    <w:rsid w:val="00C24E2A"/>
    <w:rsid w:val="00C821B9"/>
    <w:rsid w:val="00C91E10"/>
    <w:rsid w:val="00CA4C1A"/>
    <w:rsid w:val="00CD6805"/>
    <w:rsid w:val="00CE31C1"/>
    <w:rsid w:val="00CF12DC"/>
    <w:rsid w:val="00CF338F"/>
    <w:rsid w:val="00D048A1"/>
    <w:rsid w:val="00D300FD"/>
    <w:rsid w:val="00D30DAC"/>
    <w:rsid w:val="00D35BAE"/>
    <w:rsid w:val="00D770BA"/>
    <w:rsid w:val="00D93FA4"/>
    <w:rsid w:val="00DA12A4"/>
    <w:rsid w:val="00DA59BE"/>
    <w:rsid w:val="00DA7A96"/>
    <w:rsid w:val="00DC34DF"/>
    <w:rsid w:val="00DD2753"/>
    <w:rsid w:val="00DF4EFB"/>
    <w:rsid w:val="00E0401D"/>
    <w:rsid w:val="00E0792B"/>
    <w:rsid w:val="00E07A64"/>
    <w:rsid w:val="00E07BF9"/>
    <w:rsid w:val="00E137D4"/>
    <w:rsid w:val="00E37B66"/>
    <w:rsid w:val="00E45ECD"/>
    <w:rsid w:val="00E47E71"/>
    <w:rsid w:val="00E50A8A"/>
    <w:rsid w:val="00E6060B"/>
    <w:rsid w:val="00E67801"/>
    <w:rsid w:val="00E706A9"/>
    <w:rsid w:val="00E819A4"/>
    <w:rsid w:val="00E95BA0"/>
    <w:rsid w:val="00E97A1B"/>
    <w:rsid w:val="00E97D5C"/>
    <w:rsid w:val="00EA6B64"/>
    <w:rsid w:val="00ED13A5"/>
    <w:rsid w:val="00EE45FC"/>
    <w:rsid w:val="00F03363"/>
    <w:rsid w:val="00F11905"/>
    <w:rsid w:val="00F20564"/>
    <w:rsid w:val="00F3288C"/>
    <w:rsid w:val="00F33A50"/>
    <w:rsid w:val="00F36567"/>
    <w:rsid w:val="00F36AEA"/>
    <w:rsid w:val="00F41B0C"/>
    <w:rsid w:val="00F47672"/>
    <w:rsid w:val="00F62886"/>
    <w:rsid w:val="00F73C0D"/>
    <w:rsid w:val="00FA2922"/>
    <w:rsid w:val="00FA5107"/>
    <w:rsid w:val="00FC1153"/>
    <w:rsid w:val="00FC23C4"/>
    <w:rsid w:val="00FD4AE5"/>
    <w:rsid w:val="00FE130A"/>
    <w:rsid w:val="00FE2BC1"/>
    <w:rsid w:val="00FF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05F97"/>
  <w15:chartTrackingRefBased/>
  <w15:docId w15:val="{4D2DB58F-3B4F-464C-A7DF-3FDB060E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08"/>
  </w:style>
  <w:style w:type="paragraph" w:styleId="Footer">
    <w:name w:val="footer"/>
    <w:basedOn w:val="Normal"/>
    <w:link w:val="FooterChar"/>
    <w:uiPriority w:val="99"/>
    <w:unhideWhenUsed/>
    <w:rsid w:val="0038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08"/>
  </w:style>
  <w:style w:type="table" w:styleId="TableGrid">
    <w:name w:val="Table Grid"/>
    <w:basedOn w:val="TableNormal"/>
    <w:uiPriority w:val="39"/>
    <w:rsid w:val="00AA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AB2"/>
    <w:pPr>
      <w:ind w:left="720"/>
      <w:contextualSpacing/>
    </w:pPr>
  </w:style>
  <w:style w:type="character" w:styleId="Emphasis">
    <w:name w:val="Emphasis"/>
    <w:basedOn w:val="DefaultParagraphFont"/>
    <w:uiPriority w:val="20"/>
    <w:qFormat/>
    <w:rsid w:val="00E97A1B"/>
    <w:rPr>
      <w:i/>
      <w:iCs/>
    </w:rPr>
  </w:style>
  <w:style w:type="character" w:styleId="Hyperlink">
    <w:name w:val="Hyperlink"/>
    <w:basedOn w:val="DefaultParagraphFont"/>
    <w:uiPriority w:val="99"/>
    <w:unhideWhenUsed/>
    <w:rsid w:val="00123D93"/>
    <w:rPr>
      <w:color w:val="0563C1" w:themeColor="hyperlink"/>
      <w:u w:val="single"/>
    </w:rPr>
  </w:style>
  <w:style w:type="character" w:styleId="UnresolvedMention">
    <w:name w:val="Unresolved Mention"/>
    <w:basedOn w:val="DefaultParagraphFont"/>
    <w:uiPriority w:val="99"/>
    <w:semiHidden/>
    <w:unhideWhenUsed/>
    <w:rsid w:val="0012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6866">
      <w:bodyDiv w:val="1"/>
      <w:marLeft w:val="0"/>
      <w:marRight w:val="0"/>
      <w:marTop w:val="0"/>
      <w:marBottom w:val="0"/>
      <w:divBdr>
        <w:top w:val="none" w:sz="0" w:space="0" w:color="auto"/>
        <w:left w:val="none" w:sz="0" w:space="0" w:color="auto"/>
        <w:bottom w:val="none" w:sz="0" w:space="0" w:color="auto"/>
        <w:right w:val="none" w:sz="0" w:space="0" w:color="auto"/>
      </w:divBdr>
    </w:div>
    <w:div w:id="799422768">
      <w:bodyDiv w:val="1"/>
      <w:marLeft w:val="0"/>
      <w:marRight w:val="0"/>
      <w:marTop w:val="0"/>
      <w:marBottom w:val="0"/>
      <w:divBdr>
        <w:top w:val="none" w:sz="0" w:space="0" w:color="auto"/>
        <w:left w:val="none" w:sz="0" w:space="0" w:color="auto"/>
        <w:bottom w:val="none" w:sz="0" w:space="0" w:color="auto"/>
        <w:right w:val="none" w:sz="0" w:space="0" w:color="auto"/>
      </w:divBdr>
    </w:div>
    <w:div w:id="1096092525">
      <w:bodyDiv w:val="1"/>
      <w:marLeft w:val="0"/>
      <w:marRight w:val="0"/>
      <w:marTop w:val="0"/>
      <w:marBottom w:val="0"/>
      <w:divBdr>
        <w:top w:val="none" w:sz="0" w:space="0" w:color="auto"/>
        <w:left w:val="none" w:sz="0" w:space="0" w:color="auto"/>
        <w:bottom w:val="none" w:sz="0" w:space="0" w:color="auto"/>
        <w:right w:val="none" w:sz="0" w:space="0" w:color="auto"/>
      </w:divBdr>
    </w:div>
    <w:div w:id="1274940388">
      <w:bodyDiv w:val="1"/>
      <w:marLeft w:val="0"/>
      <w:marRight w:val="0"/>
      <w:marTop w:val="0"/>
      <w:marBottom w:val="0"/>
      <w:divBdr>
        <w:top w:val="none" w:sz="0" w:space="0" w:color="auto"/>
        <w:left w:val="none" w:sz="0" w:space="0" w:color="auto"/>
        <w:bottom w:val="none" w:sz="0" w:space="0" w:color="auto"/>
        <w:right w:val="none" w:sz="0" w:space="0" w:color="auto"/>
      </w:divBdr>
    </w:div>
    <w:div w:id="1770542878">
      <w:bodyDiv w:val="1"/>
      <w:marLeft w:val="0"/>
      <w:marRight w:val="0"/>
      <w:marTop w:val="0"/>
      <w:marBottom w:val="0"/>
      <w:divBdr>
        <w:top w:val="none" w:sz="0" w:space="0" w:color="auto"/>
        <w:left w:val="none" w:sz="0" w:space="0" w:color="auto"/>
        <w:bottom w:val="none" w:sz="0" w:space="0" w:color="auto"/>
        <w:right w:val="none" w:sz="0" w:space="0" w:color="auto"/>
      </w:divBdr>
      <w:divsChild>
        <w:div w:id="634220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3B4C-D2F6-4B22-84DA-12DB73F9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Dražen Vidaković</cp:lastModifiedBy>
  <cp:revision>92</cp:revision>
  <cp:lastPrinted>2024-02-09T11:30:00Z</cp:lastPrinted>
  <dcterms:created xsi:type="dcterms:W3CDTF">2023-04-05T09:33:00Z</dcterms:created>
  <dcterms:modified xsi:type="dcterms:W3CDTF">2024-04-12T13:22:00Z</dcterms:modified>
</cp:coreProperties>
</file>